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89" w:rsidRDefault="00E51889" w:rsidP="000458F8">
      <w:pPr>
        <w:spacing w:line="560" w:lineRule="exact"/>
        <w:rPr>
          <w:rFonts w:ascii="黑体" w:eastAsia="黑体" w:hAnsi="黑体" w:cs="黑体" w:hint="eastAsia"/>
          <w:color w:val="000000"/>
          <w:sz w:val="32"/>
          <w:szCs w:val="32"/>
        </w:rPr>
      </w:pPr>
      <w:r w:rsidRPr="000458F8">
        <w:rPr>
          <w:rFonts w:ascii="黑体" w:eastAsia="黑体" w:hAnsi="黑体" w:cs="黑体" w:hint="eastAsia"/>
          <w:color w:val="000000"/>
          <w:sz w:val="32"/>
          <w:szCs w:val="32"/>
        </w:rPr>
        <w:t>附件7</w:t>
      </w:r>
    </w:p>
    <w:p w:rsidR="00E51889" w:rsidRPr="000458F8" w:rsidRDefault="00E51889" w:rsidP="000458F8">
      <w:pPr>
        <w:spacing w:line="560" w:lineRule="exact"/>
        <w:rPr>
          <w:rFonts w:ascii="黑体" w:eastAsia="黑体" w:hAnsi="黑体" w:cs="黑体" w:hint="eastAsia"/>
          <w:color w:val="000000"/>
          <w:sz w:val="32"/>
          <w:szCs w:val="32"/>
        </w:rPr>
      </w:pPr>
    </w:p>
    <w:p w:rsidR="00E51889" w:rsidRDefault="00E51889" w:rsidP="000458F8">
      <w:pPr>
        <w:spacing w:line="560" w:lineRule="exact"/>
        <w:jc w:val="center"/>
        <w:rPr>
          <w:rFonts w:eastAsia="方正小标宋简体"/>
          <w:color w:val="000000"/>
          <w:sz w:val="44"/>
          <w:szCs w:val="44"/>
        </w:rPr>
      </w:pPr>
      <w:r>
        <w:rPr>
          <w:rFonts w:eastAsia="方正小标宋简体"/>
          <w:color w:val="000000"/>
          <w:sz w:val="44"/>
          <w:szCs w:val="44"/>
        </w:rPr>
        <w:t>体外诊断试剂安全和性能基本原则清单</w:t>
      </w:r>
    </w:p>
    <w:p w:rsidR="00E51889" w:rsidRDefault="00E51889" w:rsidP="000458F8">
      <w:pPr>
        <w:spacing w:line="560" w:lineRule="exact"/>
        <w:jc w:val="center"/>
        <w:rPr>
          <w:rFonts w:eastAsia="仿宋_GB2312"/>
          <w:color w:val="000000"/>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0"/>
        <w:gridCol w:w="4521"/>
        <w:gridCol w:w="767"/>
        <w:gridCol w:w="1313"/>
        <w:gridCol w:w="1617"/>
      </w:tblGrid>
      <w:tr w:rsidR="00E51889">
        <w:trPr>
          <w:trHeight w:val="501"/>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rsidP="000458F8">
            <w:pPr>
              <w:pStyle w:val="ad"/>
              <w:widowControl w:val="0"/>
              <w:rPr>
                <w:rFonts w:ascii="Times New Roman" w:eastAsia="宋体" w:hAnsi="Times New Roman"/>
                <w:bCs w:val="0"/>
                <w:color w:val="000000"/>
                <w:kern w:val="2"/>
                <w:sz w:val="21"/>
              </w:rPr>
            </w:pPr>
            <w:r>
              <w:rPr>
                <w:rFonts w:ascii="Times New Roman" w:eastAsia="宋体" w:hAnsi="Times New Roman"/>
                <w:bCs w:val="0"/>
                <w:color w:val="000000"/>
                <w:kern w:val="2"/>
                <w:sz w:val="21"/>
              </w:rPr>
              <w:t>条款号</w:t>
            </w:r>
          </w:p>
        </w:tc>
        <w:tc>
          <w:tcPr>
            <w:tcW w:w="4521" w:type="dxa"/>
            <w:tcBorders>
              <w:top w:val="single" w:sz="4" w:space="0" w:color="auto"/>
              <w:left w:val="single" w:sz="4" w:space="0" w:color="auto"/>
              <w:bottom w:val="single" w:sz="4" w:space="0" w:color="auto"/>
              <w:right w:val="single" w:sz="4" w:space="0" w:color="auto"/>
            </w:tcBorders>
            <w:vAlign w:val="center"/>
          </w:tcPr>
          <w:p w:rsidR="00E51889" w:rsidRDefault="00E51889" w:rsidP="000458F8">
            <w:pPr>
              <w:pStyle w:val="ad"/>
              <w:widowControl w:val="0"/>
              <w:ind w:firstLine="420"/>
              <w:jc w:val="center"/>
              <w:rPr>
                <w:rFonts w:ascii="Times New Roman" w:eastAsia="宋体" w:hAnsi="Times New Roman"/>
                <w:bCs w:val="0"/>
                <w:color w:val="000000"/>
                <w:kern w:val="2"/>
                <w:sz w:val="21"/>
              </w:rPr>
            </w:pPr>
            <w:r>
              <w:rPr>
                <w:rFonts w:ascii="Times New Roman" w:eastAsia="宋体" w:hAnsi="Times New Roman"/>
                <w:bCs w:val="0"/>
                <w:color w:val="000000"/>
                <w:kern w:val="2"/>
                <w:sz w:val="21"/>
              </w:rPr>
              <w:t>要求</w:t>
            </w:r>
          </w:p>
        </w:tc>
        <w:tc>
          <w:tcPr>
            <w:tcW w:w="767" w:type="dxa"/>
            <w:tcBorders>
              <w:top w:val="single" w:sz="4" w:space="0" w:color="auto"/>
              <w:left w:val="single" w:sz="4" w:space="0" w:color="auto"/>
              <w:bottom w:val="single" w:sz="4" w:space="0" w:color="auto"/>
              <w:right w:val="single" w:sz="4" w:space="0" w:color="auto"/>
            </w:tcBorders>
            <w:vAlign w:val="center"/>
          </w:tcPr>
          <w:p w:rsidR="00E51889" w:rsidRDefault="00E51889" w:rsidP="000458F8">
            <w:pPr>
              <w:pStyle w:val="ab"/>
              <w:widowControl w:val="0"/>
              <w:rPr>
                <w:rFonts w:ascii="Times New Roman" w:eastAsia="宋体" w:hAnsi="Times New Roman"/>
                <w:bCs w:val="0"/>
                <w:color w:val="000000"/>
                <w:kern w:val="2"/>
                <w:sz w:val="21"/>
              </w:rPr>
            </w:pPr>
            <w:r>
              <w:rPr>
                <w:rFonts w:ascii="Times New Roman" w:eastAsia="宋体" w:hAnsi="Times New Roman"/>
                <w:bCs w:val="0"/>
                <w:color w:val="000000"/>
                <w:kern w:val="2"/>
                <w:sz w:val="21"/>
              </w:rPr>
              <w:t>适用</w:t>
            </w:r>
          </w:p>
        </w:tc>
        <w:tc>
          <w:tcPr>
            <w:tcW w:w="1313" w:type="dxa"/>
            <w:tcBorders>
              <w:top w:val="single" w:sz="4" w:space="0" w:color="auto"/>
              <w:left w:val="single" w:sz="4" w:space="0" w:color="auto"/>
              <w:bottom w:val="single" w:sz="4" w:space="0" w:color="auto"/>
              <w:right w:val="single" w:sz="4" w:space="0" w:color="auto"/>
            </w:tcBorders>
            <w:vAlign w:val="center"/>
          </w:tcPr>
          <w:p w:rsidR="00E51889" w:rsidRDefault="00E51889" w:rsidP="000458F8">
            <w:pPr>
              <w:pStyle w:val="ab"/>
              <w:widowControl w:val="0"/>
              <w:ind w:rightChars="12" w:right="25"/>
              <w:rPr>
                <w:rFonts w:ascii="Times New Roman" w:eastAsia="宋体" w:hAnsi="Times New Roman"/>
                <w:bCs w:val="0"/>
                <w:color w:val="000000"/>
                <w:kern w:val="2"/>
                <w:sz w:val="21"/>
              </w:rPr>
            </w:pPr>
            <w:r>
              <w:rPr>
                <w:rFonts w:ascii="Times New Roman" w:eastAsia="宋体" w:hAnsi="Times New Roman"/>
                <w:bCs w:val="0"/>
                <w:color w:val="000000"/>
                <w:kern w:val="2"/>
                <w:sz w:val="21"/>
              </w:rPr>
              <w:t>证明符合性采用的方法</w:t>
            </w:r>
          </w:p>
        </w:tc>
        <w:tc>
          <w:tcPr>
            <w:tcW w:w="1617" w:type="dxa"/>
            <w:tcBorders>
              <w:top w:val="single" w:sz="4" w:space="0" w:color="auto"/>
              <w:left w:val="single" w:sz="4" w:space="0" w:color="auto"/>
              <w:bottom w:val="single" w:sz="4" w:space="0" w:color="auto"/>
              <w:right w:val="single" w:sz="4" w:space="0" w:color="auto"/>
            </w:tcBorders>
            <w:vAlign w:val="center"/>
          </w:tcPr>
          <w:p w:rsidR="00E51889" w:rsidRDefault="00E51889" w:rsidP="000458F8">
            <w:pPr>
              <w:pStyle w:val="ab"/>
              <w:widowControl w:val="0"/>
              <w:rPr>
                <w:rFonts w:ascii="Times New Roman" w:eastAsia="宋体" w:hAnsi="Times New Roman"/>
                <w:bCs w:val="0"/>
                <w:color w:val="000000"/>
                <w:kern w:val="2"/>
                <w:sz w:val="21"/>
              </w:rPr>
            </w:pPr>
            <w:r>
              <w:rPr>
                <w:rFonts w:ascii="Times New Roman" w:eastAsia="宋体" w:hAnsi="Times New Roman"/>
                <w:bCs w:val="0"/>
                <w:color w:val="000000"/>
                <w:kern w:val="2"/>
                <w:sz w:val="21"/>
              </w:rPr>
              <w:t>为符合性提供客观证据的文件</w:t>
            </w:r>
          </w:p>
        </w:tc>
      </w:tr>
      <w:tr w:rsidR="00E51889">
        <w:trPr>
          <w:trHeight w:val="287"/>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w:t>
            </w:r>
          </w:p>
        </w:tc>
        <w:tc>
          <w:tcPr>
            <w:tcW w:w="8218" w:type="dxa"/>
            <w:gridSpan w:val="4"/>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安全和性能的通用基本原则</w:t>
            </w: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A1</w:t>
            </w:r>
          </w:p>
        </w:tc>
        <w:tc>
          <w:tcPr>
            <w:tcW w:w="8218" w:type="dxa"/>
            <w:gridSpan w:val="4"/>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一般原则</w:t>
            </w: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A1.1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应当实现申请人申报产品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A1.2</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申请人应当建立、实施、记录和维护风险管理体系，确保医疗器械安全、有效且质量可控。在医疗器械全生命周期内，风险管理是一个持续、反复的过程，需要定期进行系统性的改进更新。在开展风险管理时，申请人应当：</w:t>
            </w:r>
          </w:p>
          <w:p w:rsidR="00E51889" w:rsidRDefault="00E51889">
            <w:pPr>
              <w:jc w:val="left"/>
              <w:rPr>
                <w:color w:val="000000"/>
                <w:kern w:val="0"/>
                <w:szCs w:val="18"/>
              </w:rPr>
            </w:pPr>
            <w:r>
              <w:rPr>
                <w:color w:val="000000"/>
                <w:kern w:val="0"/>
                <w:szCs w:val="18"/>
              </w:rPr>
              <w:t>a)</w:t>
            </w:r>
            <w:r>
              <w:rPr>
                <w:color w:val="000000"/>
                <w:kern w:val="0"/>
                <w:szCs w:val="18"/>
              </w:rPr>
              <w:t>建立涵盖所有医疗器械风险管理计划并形成文件；</w:t>
            </w:r>
          </w:p>
          <w:p w:rsidR="00E51889" w:rsidRDefault="00E51889">
            <w:pPr>
              <w:jc w:val="left"/>
              <w:rPr>
                <w:color w:val="000000"/>
                <w:kern w:val="0"/>
                <w:szCs w:val="18"/>
              </w:rPr>
            </w:pPr>
            <w:r>
              <w:rPr>
                <w:color w:val="000000"/>
                <w:kern w:val="0"/>
                <w:szCs w:val="18"/>
              </w:rPr>
              <w:t>b)</w:t>
            </w:r>
            <w:r>
              <w:rPr>
                <w:color w:val="000000"/>
                <w:kern w:val="0"/>
                <w:szCs w:val="18"/>
              </w:rPr>
              <w:t>识别并分析涵盖所有医疗器械的相关的已知和可预见的危险（源）；</w:t>
            </w:r>
          </w:p>
          <w:p w:rsidR="00E51889" w:rsidRDefault="00E51889">
            <w:pPr>
              <w:jc w:val="left"/>
              <w:rPr>
                <w:color w:val="000000"/>
                <w:kern w:val="0"/>
                <w:szCs w:val="18"/>
              </w:rPr>
            </w:pPr>
            <w:r>
              <w:rPr>
                <w:color w:val="000000"/>
                <w:kern w:val="0"/>
                <w:szCs w:val="18"/>
              </w:rPr>
              <w:t>c)</w:t>
            </w:r>
            <w:r>
              <w:rPr>
                <w:color w:val="000000"/>
                <w:kern w:val="0"/>
                <w:szCs w:val="18"/>
              </w:rPr>
              <w:t>估计和评价在预期使用和可合理预见的误使用过程中，发生的相关风险；</w:t>
            </w:r>
          </w:p>
          <w:p w:rsidR="00E51889" w:rsidRDefault="00E51889">
            <w:pPr>
              <w:jc w:val="left"/>
              <w:rPr>
                <w:color w:val="000000"/>
                <w:kern w:val="0"/>
                <w:szCs w:val="18"/>
              </w:rPr>
            </w:pPr>
            <w:r>
              <w:rPr>
                <w:color w:val="000000"/>
                <w:kern w:val="0"/>
                <w:szCs w:val="18"/>
              </w:rPr>
              <w:t>d)</w:t>
            </w:r>
            <w:r>
              <w:rPr>
                <w:color w:val="000000"/>
                <w:kern w:val="0"/>
                <w:szCs w:val="18"/>
              </w:rPr>
              <w:t>依据</w:t>
            </w:r>
            <w:r>
              <w:rPr>
                <w:color w:val="000000"/>
                <w:kern w:val="0"/>
                <w:szCs w:val="18"/>
              </w:rPr>
              <w:t>A1.3</w:t>
            </w:r>
            <w:r>
              <w:rPr>
                <w:color w:val="000000"/>
                <w:kern w:val="0"/>
                <w:szCs w:val="18"/>
              </w:rPr>
              <w:t>和</w:t>
            </w:r>
            <w:r>
              <w:rPr>
                <w:color w:val="000000"/>
                <w:kern w:val="0"/>
                <w:szCs w:val="18"/>
              </w:rPr>
              <w:t>A1.4</w:t>
            </w:r>
            <w:r>
              <w:rPr>
                <w:color w:val="000000"/>
                <w:kern w:val="0"/>
                <w:szCs w:val="18"/>
              </w:rPr>
              <w:t>相关要求，消除或控制</w:t>
            </w:r>
            <w:r>
              <w:rPr>
                <w:color w:val="000000"/>
                <w:kern w:val="0"/>
                <w:szCs w:val="18"/>
              </w:rPr>
              <w:t>c</w:t>
            </w:r>
            <w:r>
              <w:rPr>
                <w:color w:val="000000"/>
                <w:kern w:val="0"/>
                <w:szCs w:val="18"/>
              </w:rPr>
              <w:t>）点所述的风险；</w:t>
            </w:r>
          </w:p>
          <w:p w:rsidR="00E51889" w:rsidRDefault="00E51889">
            <w:pPr>
              <w:jc w:val="left"/>
              <w:rPr>
                <w:color w:val="000000"/>
                <w:kern w:val="0"/>
                <w:szCs w:val="18"/>
              </w:rPr>
            </w:pPr>
            <w:r>
              <w:rPr>
                <w:color w:val="000000"/>
                <w:kern w:val="0"/>
                <w:szCs w:val="18"/>
              </w:rPr>
              <w:t>e)</w:t>
            </w:r>
            <w:r>
              <w:rPr>
                <w:color w:val="000000"/>
                <w:kern w:val="0"/>
                <w:szCs w:val="1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p>
          <w:p w:rsidR="00E51889" w:rsidRDefault="00E51889">
            <w:pPr>
              <w:jc w:val="left"/>
              <w:rPr>
                <w:color w:val="000000"/>
                <w:kern w:val="0"/>
                <w:szCs w:val="18"/>
              </w:rPr>
            </w:pPr>
            <w:r>
              <w:rPr>
                <w:color w:val="000000"/>
                <w:kern w:val="0"/>
                <w:szCs w:val="18"/>
              </w:rPr>
              <w:t>f)</w:t>
            </w:r>
            <w:r>
              <w:rPr>
                <w:color w:val="000000"/>
                <w:kern w:val="0"/>
                <w:szCs w:val="18"/>
              </w:rPr>
              <w:t>基于对</w:t>
            </w:r>
            <w:r>
              <w:rPr>
                <w:color w:val="000000"/>
                <w:kern w:val="0"/>
                <w:szCs w:val="18"/>
              </w:rPr>
              <w:t>e</w:t>
            </w:r>
            <w:r>
              <w:rPr>
                <w:color w:val="000000"/>
                <w:kern w:val="0"/>
                <w:szCs w:val="18"/>
              </w:rPr>
              <w:t>）点所述信息影响的评价，必要时修改控制措施以符合</w:t>
            </w:r>
            <w:r>
              <w:rPr>
                <w:color w:val="000000"/>
                <w:kern w:val="0"/>
                <w:szCs w:val="18"/>
              </w:rPr>
              <w:t>A1.3</w:t>
            </w:r>
            <w:r>
              <w:rPr>
                <w:color w:val="000000"/>
                <w:kern w:val="0"/>
                <w:szCs w:val="18"/>
              </w:rPr>
              <w:t>和</w:t>
            </w:r>
            <w:r>
              <w:rPr>
                <w:color w:val="000000"/>
                <w:kern w:val="0"/>
                <w:szCs w:val="18"/>
              </w:rPr>
              <w:t>A1.4</w:t>
            </w:r>
            <w:r>
              <w:rPr>
                <w:color w:val="000000"/>
                <w:kern w:val="0"/>
                <w:szCs w:val="18"/>
              </w:rPr>
              <w:t>相关要求。</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A1.3</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医疗器械的申请人在设计和生产过程中采取的风险控制措施，应当遵循安全原则，采用先进技术。需要降低风险时，申请人应当控制风险，确</w:t>
            </w:r>
            <w:r>
              <w:rPr>
                <w:color w:val="000000"/>
                <w:kern w:val="0"/>
                <w:szCs w:val="18"/>
              </w:rPr>
              <w:lastRenderedPageBreak/>
              <w:t>保每个危险（源）相关的剩余风险和总体剩余风险是可接受的。在选择最合适的解决方案时，申请人应当按以下优先顺序进行：</w:t>
            </w:r>
          </w:p>
          <w:p w:rsidR="00E51889" w:rsidRDefault="00E51889">
            <w:pPr>
              <w:jc w:val="left"/>
              <w:rPr>
                <w:color w:val="000000"/>
                <w:kern w:val="0"/>
                <w:szCs w:val="18"/>
              </w:rPr>
            </w:pPr>
            <w:r>
              <w:rPr>
                <w:color w:val="000000"/>
                <w:kern w:val="0"/>
                <w:szCs w:val="18"/>
              </w:rPr>
              <w:t>a)</w:t>
            </w:r>
            <w:r>
              <w:rPr>
                <w:color w:val="000000"/>
                <w:kern w:val="0"/>
                <w:szCs w:val="18"/>
              </w:rPr>
              <w:tab/>
            </w:r>
            <w:r>
              <w:rPr>
                <w:color w:val="000000"/>
                <w:kern w:val="0"/>
                <w:szCs w:val="18"/>
              </w:rPr>
              <w:t>通过安全设计和生产消除或适当降低风险；</w:t>
            </w:r>
          </w:p>
          <w:p w:rsidR="00E51889" w:rsidRDefault="00E51889">
            <w:pPr>
              <w:jc w:val="left"/>
              <w:rPr>
                <w:color w:val="000000"/>
                <w:kern w:val="0"/>
                <w:szCs w:val="18"/>
              </w:rPr>
            </w:pPr>
            <w:r>
              <w:rPr>
                <w:color w:val="000000"/>
                <w:kern w:val="0"/>
                <w:szCs w:val="18"/>
              </w:rPr>
              <w:t>b)</w:t>
            </w:r>
            <w:r>
              <w:rPr>
                <w:color w:val="000000"/>
                <w:kern w:val="0"/>
                <w:szCs w:val="18"/>
              </w:rPr>
              <w:t>适用时，对无法消除的风险采取充分的防护措施，包括必要的警报；</w:t>
            </w:r>
          </w:p>
          <w:p w:rsidR="00E51889" w:rsidRDefault="00E51889">
            <w:pPr>
              <w:jc w:val="left"/>
              <w:rPr>
                <w:color w:val="000000"/>
                <w:kern w:val="0"/>
                <w:szCs w:val="18"/>
              </w:rPr>
            </w:pPr>
            <w:r>
              <w:rPr>
                <w:color w:val="000000"/>
                <w:kern w:val="0"/>
                <w:szCs w:val="18"/>
              </w:rPr>
              <w:t>c)</w:t>
            </w:r>
            <w:r>
              <w:rPr>
                <w:color w:val="000000"/>
                <w:kern w:val="0"/>
                <w:szCs w:val="18"/>
              </w:rPr>
              <w:t>提供安全信息（警告</w:t>
            </w:r>
            <w:r>
              <w:rPr>
                <w:color w:val="000000"/>
                <w:kern w:val="0"/>
                <w:szCs w:val="18"/>
              </w:rPr>
              <w:t>/</w:t>
            </w:r>
            <w:r>
              <w:rPr>
                <w:color w:val="000000"/>
                <w:kern w:val="0"/>
                <w:szCs w:val="18"/>
              </w:rPr>
              <w:t>预防措施</w:t>
            </w:r>
            <w:r>
              <w:rPr>
                <w:color w:val="000000"/>
                <w:kern w:val="0"/>
                <w:szCs w:val="18"/>
              </w:rPr>
              <w:t>/</w:t>
            </w:r>
            <w:r>
              <w:rPr>
                <w:color w:val="000000"/>
                <w:kern w:val="0"/>
                <w:szCs w:val="18"/>
              </w:rPr>
              <w:t>禁忌证），适当时，向使用者提供培训。</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lastRenderedPageBreak/>
              <w:t>A1.4</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申请人应当告知使用者所有相关的剩余风险。</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trHeight w:val="103"/>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A1.5</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在消除或降低与使用有关的风险时，申请人应该：</w:t>
            </w:r>
          </w:p>
          <w:p w:rsidR="00E51889" w:rsidRDefault="00E51889">
            <w:pPr>
              <w:jc w:val="left"/>
              <w:rPr>
                <w:color w:val="000000"/>
                <w:kern w:val="0"/>
                <w:szCs w:val="18"/>
              </w:rPr>
            </w:pPr>
            <w:r>
              <w:rPr>
                <w:color w:val="000000"/>
                <w:kern w:val="0"/>
                <w:szCs w:val="18"/>
              </w:rPr>
              <w:t>a)</w:t>
            </w:r>
            <w:r>
              <w:rPr>
                <w:color w:val="000000"/>
                <w:kern w:val="0"/>
                <w:szCs w:val="18"/>
              </w:rPr>
              <w:t>适当降低医疗器械的特性（如人体工程学</w:t>
            </w:r>
            <w:r>
              <w:rPr>
                <w:color w:val="000000"/>
                <w:kern w:val="0"/>
                <w:szCs w:val="18"/>
              </w:rPr>
              <w:t>/</w:t>
            </w:r>
            <w:r>
              <w:rPr>
                <w:color w:val="000000"/>
                <w:kern w:val="0"/>
                <w:szCs w:val="18"/>
              </w:rPr>
              <w:t>可用性）和预期使用环境（如灰尘和湿度）可能带来的风险；</w:t>
            </w:r>
          </w:p>
          <w:p w:rsidR="00E51889" w:rsidRDefault="00E51889">
            <w:pPr>
              <w:jc w:val="left"/>
              <w:rPr>
                <w:color w:val="000000"/>
                <w:kern w:val="0"/>
                <w:szCs w:val="18"/>
              </w:rPr>
            </w:pPr>
            <w:r>
              <w:rPr>
                <w:color w:val="000000"/>
                <w:kern w:val="0"/>
                <w:szCs w:val="18"/>
              </w:rPr>
              <w:t>b)</w:t>
            </w:r>
            <w:r>
              <w:rPr>
                <w:color w:val="000000"/>
                <w:kern w:val="0"/>
                <w:szCs w:val="18"/>
              </w:rPr>
              <w:t>考虑预期使用者的技术知识、经验、教育背景、培训、身体状况（如适用）以及使用环境。</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A1.6</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在申请人规定的生命周期内，在正常使用、维护和校准（如适用）情况下，外力不应对医疗器械的特性和性能造成不利影响，以致损害患者、使用者及他人的健康和安全。</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A1.7</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trHeight w:val="211"/>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A1.8</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在货架有效期内、开封后的使用期间（对于诊断试剂，包括在机稳定性），以及运输或送货期间（对于诊断试剂，包括被测样品），医疗器械应具有可接受的稳定性。</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A1.9</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在正常使用条件下，基于当前先进技术水平，比较医疗器械性能带来的受益，所有已知的、可预见的风险以及任何不良副作用应最小化且可接受。</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trHeight w:val="70"/>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rsidP="000458F8">
            <w:pPr>
              <w:pStyle w:val="ad"/>
              <w:widowControl w:val="0"/>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t>A2</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E51889" w:rsidRDefault="00E51889">
            <w:pPr>
              <w:jc w:val="left"/>
              <w:rPr>
                <w:color w:val="000000"/>
                <w:kern w:val="0"/>
                <w:szCs w:val="18"/>
              </w:rPr>
            </w:pPr>
            <w:r>
              <w:rPr>
                <w:color w:val="000000"/>
                <w:kern w:val="0"/>
                <w:szCs w:val="18"/>
              </w:rPr>
              <w:t>临床评价</w:t>
            </w: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A2.1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rsidP="000458F8">
            <w:pPr>
              <w:pStyle w:val="ac"/>
              <w:widowControl w:val="0"/>
              <w:ind w:left="0"/>
              <w:rPr>
                <w:rFonts w:ascii="Times New Roman" w:hAnsi="Times New Roman"/>
                <w:color w:val="000000"/>
              </w:rPr>
            </w:pPr>
            <w:r>
              <w:rPr>
                <w:rFonts w:ascii="Times New Roman" w:hAnsi="Times New Roman"/>
                <w:color w:val="000000"/>
              </w:rPr>
              <w:t>基于监管要求，医疗器械可能需要进行临床评价（如适用）。所谓临床评价，就是对临床数据进行评估，确定医疗器械具有可接受的风险受益比，包括以下几种形式：</w:t>
            </w:r>
          </w:p>
          <w:p w:rsidR="00E51889" w:rsidRDefault="00E51889">
            <w:pPr>
              <w:jc w:val="left"/>
              <w:rPr>
                <w:color w:val="000000"/>
              </w:rPr>
            </w:pPr>
            <w:r>
              <w:rPr>
                <w:color w:val="000000"/>
              </w:rPr>
              <w:lastRenderedPageBreak/>
              <w:t>a)</w:t>
            </w:r>
            <w:r>
              <w:rPr>
                <w:color w:val="000000"/>
              </w:rPr>
              <w:t>临床试验报告（诊断试剂临床性能</w:t>
            </w:r>
            <w:r>
              <w:rPr>
                <w:rFonts w:hint="eastAsia"/>
                <w:color w:val="000000"/>
              </w:rPr>
              <w:t>评价</w:t>
            </w:r>
            <w:r>
              <w:rPr>
                <w:color w:val="000000"/>
              </w:rPr>
              <w:t>报告）</w:t>
            </w:r>
          </w:p>
          <w:p w:rsidR="00E51889" w:rsidRDefault="00E51889">
            <w:pPr>
              <w:jc w:val="left"/>
              <w:rPr>
                <w:color w:val="000000"/>
              </w:rPr>
            </w:pPr>
            <w:r>
              <w:rPr>
                <w:color w:val="000000"/>
              </w:rPr>
              <w:t>b)</w:t>
            </w:r>
            <w:r>
              <w:rPr>
                <w:color w:val="000000"/>
              </w:rPr>
              <w:t>临床文献资料</w:t>
            </w:r>
          </w:p>
          <w:p w:rsidR="00E51889" w:rsidRDefault="00E51889" w:rsidP="000458F8">
            <w:pPr>
              <w:pStyle w:val="ac"/>
              <w:widowControl w:val="0"/>
              <w:ind w:left="0"/>
              <w:rPr>
                <w:rFonts w:ascii="Times New Roman" w:hAnsi="Times New Roman"/>
                <w:color w:val="000000"/>
              </w:rPr>
            </w:pPr>
            <w:r>
              <w:rPr>
                <w:rFonts w:ascii="Times New Roman" w:hAnsi="Times New Roman"/>
                <w:color w:val="000000"/>
              </w:rPr>
              <w:t>c)</w:t>
            </w:r>
            <w:r>
              <w:rPr>
                <w:rFonts w:ascii="Times New Roman" w:hAnsi="Times New Roman"/>
                <w:color w:val="000000"/>
                <w:kern w:val="2"/>
                <w:sz w:val="21"/>
                <w:szCs w:val="24"/>
                <w:lang w:val="en-US" w:eastAsia="zh-CN"/>
              </w:rPr>
              <w:t>临床经验数据</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lastRenderedPageBreak/>
              <w:t>A2.2</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spacing w:val="-4"/>
                <w:kern w:val="0"/>
                <w:szCs w:val="18"/>
              </w:rPr>
            </w:pPr>
            <w:r>
              <w:rPr>
                <w:color w:val="000000"/>
                <w:spacing w:val="-4"/>
                <w:kern w:val="0"/>
                <w:szCs w:val="18"/>
              </w:rPr>
              <w:t>临床试验的实施应当符合《赫尔辛基宣言》的伦理原则。保护受试者的权利、安全和健康，这是最重要的考虑因素，其重要性超过科学和社会效益。在临床试验的每个步骤，都应理解、遵守和使用上述原则。另外，临床试验方案审批、患者知情同意、诊断试剂剩余样本使用等应符合相关法规要求。</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A3</w:t>
            </w:r>
          </w:p>
        </w:tc>
        <w:tc>
          <w:tcPr>
            <w:tcW w:w="8218" w:type="dxa"/>
            <w:gridSpan w:val="4"/>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化学、物理和生物学特性</w:t>
            </w: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A3.1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关于医疗器械的化学、物理和生物学特性，应特别注意以下几点：</w:t>
            </w:r>
          </w:p>
          <w:p w:rsidR="00E51889" w:rsidRDefault="00E51889">
            <w:pPr>
              <w:jc w:val="left"/>
              <w:rPr>
                <w:color w:val="000000"/>
                <w:kern w:val="0"/>
                <w:szCs w:val="18"/>
              </w:rPr>
            </w:pPr>
            <w:r>
              <w:rPr>
                <w:color w:val="000000"/>
                <w:kern w:val="0"/>
                <w:szCs w:val="18"/>
              </w:rPr>
              <w:t>a)</w:t>
            </w:r>
            <w:r>
              <w:rPr>
                <w:color w:val="000000"/>
                <w:kern w:val="0"/>
                <w:szCs w:val="18"/>
              </w:rPr>
              <w:t>所用材料和组成成分的选择，需特别考虑：</w:t>
            </w:r>
          </w:p>
          <w:p w:rsidR="00E51889" w:rsidRDefault="00E51889">
            <w:pPr>
              <w:jc w:val="left"/>
              <w:rPr>
                <w:color w:val="000000"/>
                <w:kern w:val="0"/>
                <w:szCs w:val="18"/>
              </w:rPr>
            </w:pPr>
            <w:r>
              <w:rPr>
                <w:color w:val="000000"/>
                <w:kern w:val="0"/>
                <w:szCs w:val="18"/>
              </w:rPr>
              <w:t>-</w:t>
            </w:r>
            <w:r>
              <w:rPr>
                <w:color w:val="000000"/>
                <w:kern w:val="0"/>
                <w:szCs w:val="18"/>
              </w:rPr>
              <w:t>毒性；</w:t>
            </w:r>
          </w:p>
          <w:p w:rsidR="00E51889" w:rsidRDefault="00E51889">
            <w:pPr>
              <w:jc w:val="left"/>
              <w:rPr>
                <w:color w:val="000000"/>
                <w:kern w:val="0"/>
                <w:szCs w:val="18"/>
              </w:rPr>
            </w:pPr>
            <w:r>
              <w:rPr>
                <w:color w:val="000000"/>
                <w:kern w:val="0"/>
                <w:szCs w:val="18"/>
              </w:rPr>
              <w:t>-</w:t>
            </w:r>
            <w:r>
              <w:rPr>
                <w:color w:val="000000"/>
                <w:kern w:val="0"/>
                <w:szCs w:val="18"/>
              </w:rPr>
              <w:t>生物相容性；</w:t>
            </w:r>
          </w:p>
          <w:p w:rsidR="00E51889" w:rsidRDefault="00E51889">
            <w:pPr>
              <w:jc w:val="left"/>
              <w:rPr>
                <w:color w:val="000000"/>
                <w:kern w:val="0"/>
                <w:szCs w:val="18"/>
              </w:rPr>
            </w:pPr>
            <w:r>
              <w:rPr>
                <w:color w:val="000000"/>
                <w:kern w:val="0"/>
                <w:szCs w:val="18"/>
              </w:rPr>
              <w:t>-</w:t>
            </w:r>
            <w:r>
              <w:rPr>
                <w:color w:val="000000"/>
                <w:kern w:val="0"/>
                <w:szCs w:val="18"/>
              </w:rPr>
              <w:t>易燃性；</w:t>
            </w:r>
          </w:p>
          <w:p w:rsidR="00E51889" w:rsidRDefault="00E51889">
            <w:pPr>
              <w:jc w:val="left"/>
              <w:rPr>
                <w:color w:val="000000"/>
                <w:kern w:val="0"/>
                <w:szCs w:val="18"/>
              </w:rPr>
            </w:pPr>
            <w:r>
              <w:rPr>
                <w:color w:val="000000"/>
                <w:kern w:val="0"/>
                <w:szCs w:val="18"/>
              </w:rPr>
              <w:t>b)</w:t>
            </w:r>
            <w:r>
              <w:rPr>
                <w:color w:val="000000"/>
                <w:kern w:val="0"/>
                <w:szCs w:val="18"/>
              </w:rPr>
              <w:t>工艺对材料性能的影响；</w:t>
            </w:r>
          </w:p>
          <w:p w:rsidR="00E51889" w:rsidRDefault="00E51889">
            <w:pPr>
              <w:jc w:val="left"/>
              <w:rPr>
                <w:color w:val="000000"/>
                <w:kern w:val="0"/>
                <w:szCs w:val="18"/>
              </w:rPr>
            </w:pPr>
            <w:r>
              <w:rPr>
                <w:color w:val="000000"/>
                <w:kern w:val="0"/>
                <w:szCs w:val="18"/>
              </w:rPr>
              <w:t>c)</w:t>
            </w:r>
            <w:r>
              <w:rPr>
                <w:color w:val="000000"/>
                <w:kern w:val="0"/>
                <w:szCs w:val="18"/>
              </w:rPr>
              <w:t>生物物理学或者建模研究结果应当事先进行验证（如适用）；</w:t>
            </w:r>
          </w:p>
          <w:p w:rsidR="00E51889" w:rsidRDefault="00E51889">
            <w:pPr>
              <w:jc w:val="left"/>
              <w:rPr>
                <w:color w:val="000000"/>
                <w:kern w:val="0"/>
                <w:szCs w:val="18"/>
              </w:rPr>
            </w:pPr>
            <w:r>
              <w:rPr>
                <w:color w:val="000000"/>
                <w:kern w:val="0"/>
                <w:szCs w:val="18"/>
              </w:rPr>
              <w:t>d)</w:t>
            </w:r>
            <w:r>
              <w:rPr>
                <w:color w:val="000000"/>
                <w:kern w:val="0"/>
                <w:szCs w:val="18"/>
              </w:rPr>
              <w:t>所用材料的机械性能，如适用，应考虑强度、延展性、断裂强度、耐磨性和抗疲劳性等属性；</w:t>
            </w:r>
          </w:p>
          <w:p w:rsidR="00E51889" w:rsidRDefault="00E51889">
            <w:pPr>
              <w:jc w:val="left"/>
              <w:rPr>
                <w:color w:val="000000"/>
                <w:kern w:val="0"/>
                <w:szCs w:val="18"/>
              </w:rPr>
            </w:pPr>
            <w:r>
              <w:rPr>
                <w:color w:val="000000"/>
                <w:kern w:val="0"/>
                <w:szCs w:val="18"/>
              </w:rPr>
              <w:t>e)</w:t>
            </w:r>
            <w:r>
              <w:rPr>
                <w:color w:val="000000"/>
                <w:kern w:val="0"/>
                <w:szCs w:val="18"/>
              </w:rPr>
              <w:t>表面特性；</w:t>
            </w:r>
          </w:p>
          <w:p w:rsidR="00E51889" w:rsidRDefault="00E51889">
            <w:pPr>
              <w:jc w:val="left"/>
              <w:rPr>
                <w:color w:val="000000"/>
                <w:kern w:val="0"/>
                <w:szCs w:val="18"/>
              </w:rPr>
            </w:pPr>
            <w:r>
              <w:rPr>
                <w:color w:val="000000"/>
                <w:kern w:val="0"/>
                <w:szCs w:val="18"/>
              </w:rPr>
              <w:t>f)</w:t>
            </w:r>
            <w:r>
              <w:rPr>
                <w:color w:val="000000"/>
                <w:kern w:val="0"/>
                <w:szCs w:val="18"/>
              </w:rPr>
              <w:t>器械与已规定化学和</w:t>
            </w:r>
            <w:r>
              <w:rPr>
                <w:color w:val="000000"/>
                <w:kern w:val="0"/>
                <w:szCs w:val="18"/>
              </w:rPr>
              <w:t>/</w:t>
            </w:r>
            <w:r>
              <w:rPr>
                <w:color w:val="000000"/>
                <w:kern w:val="0"/>
                <w:szCs w:val="18"/>
              </w:rPr>
              <w:t>或物理性能的符合性。</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A3.2</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A3.3</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医疗器械的设计和生产应当适当降低析出物（包括滤沥物和</w:t>
            </w:r>
            <w:r>
              <w:rPr>
                <w:color w:val="000000"/>
                <w:kern w:val="0"/>
                <w:szCs w:val="18"/>
              </w:rPr>
              <w:t>/</w:t>
            </w:r>
            <w:r>
              <w:rPr>
                <w:color w:val="000000"/>
                <w:kern w:val="0"/>
                <w:szCs w:val="18"/>
              </w:rPr>
              <w:t>或蒸发物）、降解产物、加工残留物等造成的风险。应当特别注意致癌、致突变或有生殖毒性的泄漏物或滤沥物。</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A3.4</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医疗器械的设计和生产应当考虑到医疗器械及其预期使用环境的性质，适当降低物质意外进入器械所带来的风险。</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A3.5</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医疗器械及其生产工艺的设计应当能消除或适当降低对使用者和其他可能接触者的感染风险。设计应当：</w:t>
            </w:r>
          </w:p>
          <w:p w:rsidR="00E51889" w:rsidRDefault="00E51889">
            <w:pPr>
              <w:jc w:val="left"/>
              <w:rPr>
                <w:color w:val="000000"/>
                <w:kern w:val="0"/>
                <w:szCs w:val="18"/>
              </w:rPr>
            </w:pPr>
            <w:r>
              <w:rPr>
                <w:color w:val="000000"/>
                <w:kern w:val="0"/>
                <w:szCs w:val="18"/>
              </w:rPr>
              <w:t>a)</w:t>
            </w:r>
            <w:r>
              <w:rPr>
                <w:color w:val="000000"/>
                <w:kern w:val="0"/>
                <w:szCs w:val="18"/>
              </w:rPr>
              <w:t>操作安全，易于处理；</w:t>
            </w:r>
          </w:p>
          <w:p w:rsidR="00E51889" w:rsidRDefault="00E51889">
            <w:pPr>
              <w:jc w:val="left"/>
              <w:rPr>
                <w:color w:val="000000"/>
                <w:kern w:val="0"/>
                <w:szCs w:val="18"/>
              </w:rPr>
            </w:pPr>
            <w:r>
              <w:rPr>
                <w:color w:val="000000"/>
                <w:kern w:val="0"/>
                <w:szCs w:val="18"/>
              </w:rPr>
              <w:lastRenderedPageBreak/>
              <w:t>b)</w:t>
            </w:r>
            <w:r>
              <w:rPr>
                <w:color w:val="000000"/>
                <w:kern w:val="0"/>
                <w:szCs w:val="18"/>
              </w:rPr>
              <w:t>尽量减少医疗器械的微生物泄漏和</w:t>
            </w:r>
            <w:r>
              <w:rPr>
                <w:color w:val="000000"/>
                <w:kern w:val="0"/>
                <w:szCs w:val="18"/>
              </w:rPr>
              <w:t>/</w:t>
            </w:r>
            <w:r>
              <w:rPr>
                <w:color w:val="000000"/>
                <w:kern w:val="0"/>
                <w:szCs w:val="18"/>
              </w:rPr>
              <w:t>或使用过程中的感染风险；</w:t>
            </w:r>
          </w:p>
          <w:p w:rsidR="00E51889" w:rsidRDefault="00E51889">
            <w:pPr>
              <w:jc w:val="left"/>
              <w:rPr>
                <w:color w:val="000000"/>
                <w:kern w:val="0"/>
                <w:szCs w:val="18"/>
              </w:rPr>
            </w:pPr>
            <w:r>
              <w:rPr>
                <w:color w:val="000000"/>
                <w:kern w:val="0"/>
                <w:szCs w:val="18"/>
              </w:rPr>
              <w:t>c)</w:t>
            </w:r>
            <w:r>
              <w:rPr>
                <w:color w:val="000000"/>
                <w:kern w:val="0"/>
                <w:szCs w:val="18"/>
              </w:rPr>
              <w:t>防止医疗器械或其内容物（例如：标本）的微生物污染；</w:t>
            </w:r>
          </w:p>
          <w:p w:rsidR="00E51889" w:rsidRDefault="00E51889">
            <w:pPr>
              <w:jc w:val="left"/>
              <w:rPr>
                <w:color w:val="000000"/>
                <w:kern w:val="0"/>
                <w:szCs w:val="18"/>
              </w:rPr>
            </w:pPr>
            <w:r>
              <w:rPr>
                <w:color w:val="000000"/>
                <w:kern w:val="0"/>
                <w:szCs w:val="18"/>
              </w:rPr>
              <w:t>d)</w:t>
            </w:r>
            <w:r>
              <w:rPr>
                <w:color w:val="000000"/>
                <w:kern w:val="0"/>
                <w:szCs w:val="18"/>
              </w:rPr>
              <w:t>尽量减少意外风险（例如：割伤和刺伤（如针刺伤）、意外物质溅入眼睛等）。</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rsidP="000458F8">
            <w:pPr>
              <w:pStyle w:val="ad"/>
              <w:widowControl w:val="0"/>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lastRenderedPageBreak/>
              <w:t>A4</w:t>
            </w:r>
          </w:p>
        </w:tc>
        <w:tc>
          <w:tcPr>
            <w:tcW w:w="8218" w:type="dxa"/>
            <w:gridSpan w:val="4"/>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灭菌和微生物污染</w:t>
            </w: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A4.1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医疗器械其设计应当方便使用者对其进行安全清洁、消毒、灭菌和</w:t>
            </w:r>
            <w:r>
              <w:rPr>
                <w:color w:val="000000"/>
                <w:kern w:val="0"/>
                <w:szCs w:val="18"/>
              </w:rPr>
              <w:t>/</w:t>
            </w:r>
            <w:r>
              <w:rPr>
                <w:color w:val="000000"/>
                <w:kern w:val="0"/>
                <w:szCs w:val="18"/>
              </w:rPr>
              <w:t>或重复灭菌（必要时）。</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A4.2</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具有微生物限度要求的医疗器械，其设计、生产和包装应当确保在出厂后，按照申请人规定的条件运输和贮存，符合微生物限度要求。</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A4.3</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A4.4</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无菌医疗器械应按照经验证的方法进行加工、生产、包装和灭菌，其货架有效期应按照经验证的方法确定。</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A4.5</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预期无菌使用的医疗器械（申请人灭菌或使用者灭菌），均应在适当且受控的条件和设施下生产和包装。</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A4.6</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以非无菌状态交付，且使用前灭菌的医疗器械：</w:t>
            </w:r>
          </w:p>
          <w:p w:rsidR="00E51889" w:rsidRDefault="00E51889">
            <w:pPr>
              <w:jc w:val="left"/>
              <w:rPr>
                <w:color w:val="000000"/>
                <w:kern w:val="0"/>
                <w:szCs w:val="18"/>
              </w:rPr>
            </w:pPr>
            <w:r>
              <w:rPr>
                <w:color w:val="000000"/>
                <w:kern w:val="0"/>
                <w:szCs w:val="18"/>
              </w:rPr>
              <w:t>a)</w:t>
            </w:r>
            <w:r>
              <w:rPr>
                <w:color w:val="000000"/>
                <w:kern w:val="0"/>
                <w:szCs w:val="18"/>
              </w:rPr>
              <w:t>包装应尽量减少产品受到微生物污染的风险，且应适用于申请人规定的灭菌方法；</w:t>
            </w:r>
          </w:p>
          <w:p w:rsidR="00E51889" w:rsidRDefault="00E51889">
            <w:pPr>
              <w:jc w:val="left"/>
              <w:rPr>
                <w:color w:val="000000"/>
                <w:kern w:val="0"/>
                <w:szCs w:val="18"/>
              </w:rPr>
            </w:pPr>
            <w:r>
              <w:rPr>
                <w:color w:val="000000"/>
                <w:kern w:val="0"/>
                <w:szCs w:val="18"/>
              </w:rPr>
              <w:t>b)</w:t>
            </w:r>
            <w:r>
              <w:rPr>
                <w:color w:val="000000"/>
                <w:kern w:val="0"/>
                <w:szCs w:val="18"/>
              </w:rPr>
              <w:t>申请人规定的灭菌方法应当经过验证。</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A4.7</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若医疗器械可以无菌和非无菌状态交付使用，应明确标识其交付状态。</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rsidP="000458F8">
            <w:pPr>
              <w:pStyle w:val="ad"/>
              <w:widowControl w:val="0"/>
              <w:ind w:firstLine="420"/>
              <w:jc w:val="center"/>
              <w:rPr>
                <w:rFonts w:ascii="Times New Roman" w:eastAsia="宋体" w:hAnsi="Times New Roman"/>
                <w:bCs w:val="0"/>
                <w:color w:val="000000"/>
                <w:kern w:val="2"/>
                <w:sz w:val="21"/>
              </w:rPr>
            </w:pPr>
            <w:r>
              <w:rPr>
                <w:rFonts w:ascii="Times New Roman" w:eastAsia="宋体" w:hAnsi="Times New Roman"/>
                <w:bCs w:val="0"/>
                <w:color w:val="000000"/>
                <w:kern w:val="2"/>
                <w:sz w:val="21"/>
              </w:rPr>
              <w:t>A5</w:t>
            </w:r>
          </w:p>
        </w:tc>
        <w:tc>
          <w:tcPr>
            <w:tcW w:w="8218" w:type="dxa"/>
            <w:gridSpan w:val="4"/>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环境和使用条件</w:t>
            </w: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A5.1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如医疗器械预期与其他医疗器械或设备整合使用，应确保整合使用后的系统，包括连接系统，整体的安全性，且不影响器械本身的性能。整合使用上的限制应明确标识和</w:t>
            </w:r>
            <w:r>
              <w:rPr>
                <w:color w:val="000000"/>
                <w:kern w:val="0"/>
                <w:szCs w:val="18"/>
              </w:rPr>
              <w:t>/</w:t>
            </w:r>
            <w:r>
              <w:rPr>
                <w:color w:val="000000"/>
                <w:kern w:val="0"/>
                <w:szCs w:val="18"/>
              </w:rPr>
              <w:t>或在使用说明书中明确。对于需要使用者处理的连接，如液体、气体传输、电耦合或机械耦合等，在设计和生产过程中尽可能消除或降低所有可能的风险，包括错误连接或安全危害。</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A5.2</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医疗器械的设计和生产应当考虑预期的使用环境和使用条件，以消除或降低下列风险：</w:t>
            </w:r>
          </w:p>
          <w:p w:rsidR="00E51889" w:rsidRDefault="00E51889">
            <w:pPr>
              <w:jc w:val="left"/>
              <w:rPr>
                <w:color w:val="000000"/>
                <w:kern w:val="0"/>
                <w:szCs w:val="18"/>
              </w:rPr>
            </w:pPr>
            <w:r>
              <w:rPr>
                <w:color w:val="000000"/>
                <w:kern w:val="0"/>
                <w:szCs w:val="18"/>
              </w:rPr>
              <w:lastRenderedPageBreak/>
              <w:t>a)</w:t>
            </w:r>
            <w:r>
              <w:rPr>
                <w:color w:val="000000"/>
                <w:kern w:val="0"/>
                <w:szCs w:val="18"/>
              </w:rPr>
              <w:t>与物理和人体工程学</w:t>
            </w:r>
            <w:r>
              <w:rPr>
                <w:color w:val="000000"/>
                <w:kern w:val="0"/>
                <w:szCs w:val="18"/>
              </w:rPr>
              <w:t>/</w:t>
            </w:r>
            <w:r>
              <w:rPr>
                <w:color w:val="000000"/>
                <w:kern w:val="0"/>
                <w:szCs w:val="18"/>
              </w:rPr>
              <w:t>可用性的特性有关，对使用者或他人造成损伤的风险；</w:t>
            </w:r>
          </w:p>
          <w:p w:rsidR="00E51889" w:rsidRDefault="00E51889">
            <w:pPr>
              <w:jc w:val="left"/>
              <w:rPr>
                <w:color w:val="000000"/>
                <w:kern w:val="0"/>
                <w:szCs w:val="18"/>
              </w:rPr>
            </w:pPr>
            <w:r>
              <w:rPr>
                <w:color w:val="000000"/>
                <w:kern w:val="0"/>
                <w:szCs w:val="18"/>
              </w:rPr>
              <w:t>b)</w:t>
            </w:r>
            <w:r>
              <w:rPr>
                <w:color w:val="000000"/>
                <w:kern w:val="0"/>
                <w:szCs w:val="18"/>
              </w:rPr>
              <w:t>由于用户界面设计、人体工程学</w:t>
            </w:r>
            <w:r>
              <w:rPr>
                <w:color w:val="000000"/>
                <w:kern w:val="0"/>
                <w:szCs w:val="18"/>
              </w:rPr>
              <w:t>/</w:t>
            </w:r>
            <w:r>
              <w:rPr>
                <w:color w:val="000000"/>
                <w:kern w:val="0"/>
                <w:szCs w:val="18"/>
              </w:rPr>
              <w:t>可用性的特性以及预期使用环境导致的错误操作的风险；</w:t>
            </w:r>
          </w:p>
          <w:p w:rsidR="00E51889" w:rsidRDefault="00E51889">
            <w:pPr>
              <w:jc w:val="left"/>
              <w:rPr>
                <w:color w:val="000000"/>
                <w:kern w:val="0"/>
                <w:szCs w:val="18"/>
              </w:rPr>
            </w:pPr>
            <w:r>
              <w:rPr>
                <w:color w:val="000000"/>
                <w:kern w:val="0"/>
                <w:szCs w:val="18"/>
              </w:rPr>
              <w:t>c)</w:t>
            </w:r>
            <w:r>
              <w:rPr>
                <w:color w:val="000000"/>
                <w:kern w:val="0"/>
                <w:szCs w:val="18"/>
              </w:rPr>
              <w:t>与合理可预期的外部因素或环境条件有关的风险，如磁场、外部电和电磁效应、静电释放、诊断和治疗带来的辐射、压力、湿度、温度和</w:t>
            </w:r>
            <w:r>
              <w:rPr>
                <w:color w:val="000000"/>
                <w:kern w:val="0"/>
                <w:szCs w:val="18"/>
              </w:rPr>
              <w:t>/</w:t>
            </w:r>
            <w:r>
              <w:rPr>
                <w:color w:val="000000"/>
                <w:kern w:val="0"/>
                <w:szCs w:val="18"/>
              </w:rPr>
              <w:t>或压力和加速度的变化；</w:t>
            </w:r>
          </w:p>
          <w:p w:rsidR="00E51889" w:rsidRDefault="00E51889">
            <w:pPr>
              <w:jc w:val="left"/>
              <w:rPr>
                <w:color w:val="000000"/>
                <w:kern w:val="0"/>
                <w:szCs w:val="18"/>
              </w:rPr>
            </w:pPr>
            <w:r>
              <w:rPr>
                <w:color w:val="000000"/>
                <w:kern w:val="0"/>
                <w:szCs w:val="18"/>
              </w:rPr>
              <w:t>d)</w:t>
            </w:r>
            <w:r>
              <w:rPr>
                <w:color w:val="000000"/>
                <w:kern w:val="0"/>
                <w:szCs w:val="18"/>
              </w:rPr>
              <w:t>正常使用条件下与固体材料、液体和其他物质，包括气体，接触而产生的风险；</w:t>
            </w:r>
          </w:p>
          <w:p w:rsidR="00E51889" w:rsidRDefault="00E51889">
            <w:pPr>
              <w:jc w:val="left"/>
              <w:rPr>
                <w:color w:val="000000"/>
                <w:kern w:val="0"/>
                <w:szCs w:val="18"/>
              </w:rPr>
            </w:pPr>
            <w:r>
              <w:rPr>
                <w:color w:val="000000"/>
                <w:kern w:val="0"/>
                <w:szCs w:val="18"/>
              </w:rPr>
              <w:t>e)</w:t>
            </w:r>
            <w:r>
              <w:rPr>
                <w:color w:val="000000"/>
                <w:kern w:val="0"/>
                <w:szCs w:val="18"/>
              </w:rPr>
              <w:t>软件与信息技术（</w:t>
            </w:r>
            <w:r>
              <w:rPr>
                <w:color w:val="000000"/>
                <w:kern w:val="0"/>
                <w:szCs w:val="18"/>
              </w:rPr>
              <w:t>IT</w:t>
            </w:r>
            <w:r>
              <w:rPr>
                <w:color w:val="000000"/>
                <w:kern w:val="0"/>
                <w:szCs w:val="18"/>
              </w:rPr>
              <w:t>）运行环境的兼容性造成的风险；</w:t>
            </w:r>
          </w:p>
          <w:p w:rsidR="00E51889" w:rsidRDefault="00E51889">
            <w:pPr>
              <w:jc w:val="left"/>
              <w:rPr>
                <w:color w:val="000000"/>
                <w:kern w:val="0"/>
                <w:szCs w:val="18"/>
              </w:rPr>
            </w:pPr>
            <w:r>
              <w:rPr>
                <w:color w:val="000000"/>
                <w:kern w:val="0"/>
                <w:szCs w:val="18"/>
              </w:rPr>
              <w:t>f)</w:t>
            </w:r>
            <w:r>
              <w:rPr>
                <w:color w:val="000000"/>
                <w:kern w:val="0"/>
                <w:szCs w:val="18"/>
              </w:rPr>
              <w:t>正常使用过程中，医疗器械非预期析出物导致的环境风险；</w:t>
            </w:r>
          </w:p>
          <w:p w:rsidR="00E51889" w:rsidRDefault="00E51889">
            <w:pPr>
              <w:jc w:val="left"/>
              <w:rPr>
                <w:color w:val="000000"/>
                <w:kern w:val="0"/>
                <w:szCs w:val="18"/>
              </w:rPr>
            </w:pPr>
            <w:r>
              <w:rPr>
                <w:color w:val="000000"/>
                <w:kern w:val="0"/>
                <w:szCs w:val="18"/>
              </w:rPr>
              <w:t>g)</w:t>
            </w:r>
            <w:r>
              <w:rPr>
                <w:color w:val="000000"/>
                <w:kern w:val="0"/>
                <w:szCs w:val="18"/>
              </w:rPr>
              <w:t>样本</w:t>
            </w:r>
            <w:r>
              <w:rPr>
                <w:color w:val="000000"/>
                <w:kern w:val="0"/>
                <w:szCs w:val="18"/>
              </w:rPr>
              <w:t>/</w:t>
            </w:r>
            <w:r>
              <w:rPr>
                <w:color w:val="000000"/>
                <w:kern w:val="0"/>
                <w:szCs w:val="18"/>
              </w:rPr>
              <w:t>样品</w:t>
            </w:r>
            <w:r>
              <w:rPr>
                <w:color w:val="000000"/>
                <w:kern w:val="0"/>
                <w:szCs w:val="18"/>
              </w:rPr>
              <w:t>/</w:t>
            </w:r>
            <w:r>
              <w:rPr>
                <w:color w:val="000000"/>
                <w:kern w:val="0"/>
                <w:szCs w:val="18"/>
              </w:rPr>
              <w:t>数据不正确识别和错误结果导致的风险，比如用于分析、测试或检测的样本容器、可拆卸部件和</w:t>
            </w:r>
            <w:r>
              <w:rPr>
                <w:color w:val="000000"/>
                <w:kern w:val="0"/>
                <w:szCs w:val="18"/>
              </w:rPr>
              <w:t>/</w:t>
            </w:r>
            <w:r>
              <w:rPr>
                <w:color w:val="000000"/>
                <w:kern w:val="0"/>
                <w:szCs w:val="18"/>
              </w:rPr>
              <w:t>或附件，其颜色和</w:t>
            </w:r>
            <w:r>
              <w:rPr>
                <w:color w:val="000000"/>
                <w:kern w:val="0"/>
                <w:szCs w:val="18"/>
              </w:rPr>
              <w:t>/</w:t>
            </w:r>
            <w:r>
              <w:rPr>
                <w:color w:val="000000"/>
                <w:kern w:val="0"/>
                <w:szCs w:val="18"/>
              </w:rPr>
              <w:t>或数字编码混淆；</w:t>
            </w:r>
          </w:p>
          <w:p w:rsidR="00E51889" w:rsidRDefault="00E51889">
            <w:pPr>
              <w:jc w:val="left"/>
              <w:rPr>
                <w:color w:val="000000"/>
                <w:kern w:val="0"/>
                <w:szCs w:val="18"/>
              </w:rPr>
            </w:pPr>
            <w:r>
              <w:rPr>
                <w:color w:val="000000"/>
                <w:kern w:val="0"/>
                <w:szCs w:val="18"/>
              </w:rPr>
              <w:t>h)</w:t>
            </w:r>
            <w:r>
              <w:rPr>
                <w:color w:val="000000"/>
                <w:kern w:val="0"/>
                <w:szCs w:val="18"/>
              </w:rPr>
              <w:t>与其他用于诊断、监测或治疗的医疗器械互相干扰导致的风险。</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rsidTr="000458F8">
        <w:trPr>
          <w:trHeight w:val="1454"/>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lastRenderedPageBreak/>
              <w:t>A5.3</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医疗器械的设计和生产应当消除或降低在正常状态及单一故障状态下燃烧和爆炸的风险，尤其是预期用途包括暴露于易燃、易爆物质或与其他致燃物相关的器械联用。</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rsidTr="000458F8">
        <w:trPr>
          <w:trHeight w:val="2341"/>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A5.4</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医疗器械的设计和生产应能确保调整、校准和维护过程能够安全有效的完成。</w:t>
            </w:r>
          </w:p>
          <w:p w:rsidR="00E51889" w:rsidRDefault="00E51889">
            <w:pPr>
              <w:jc w:val="left"/>
              <w:rPr>
                <w:color w:val="000000"/>
                <w:kern w:val="0"/>
                <w:szCs w:val="18"/>
              </w:rPr>
            </w:pPr>
            <w:r>
              <w:rPr>
                <w:color w:val="000000"/>
                <w:kern w:val="0"/>
                <w:szCs w:val="18"/>
              </w:rPr>
              <w:t>a)</w:t>
            </w:r>
            <w:r>
              <w:rPr>
                <w:color w:val="000000"/>
                <w:kern w:val="0"/>
                <w:szCs w:val="18"/>
              </w:rPr>
              <w:t>对无法进行维护的医疗器械，如植入物，应尽量降低材料老化等风险；</w:t>
            </w:r>
          </w:p>
          <w:p w:rsidR="00E51889" w:rsidRDefault="00E51889">
            <w:pPr>
              <w:jc w:val="left"/>
              <w:rPr>
                <w:color w:val="000000"/>
                <w:kern w:val="0"/>
                <w:szCs w:val="18"/>
              </w:rPr>
            </w:pPr>
            <w:r>
              <w:rPr>
                <w:color w:val="000000"/>
                <w:kern w:val="0"/>
                <w:szCs w:val="18"/>
              </w:rPr>
              <w:t>b)</w:t>
            </w:r>
            <w:r>
              <w:rPr>
                <w:color w:val="000000"/>
                <w:kern w:val="0"/>
                <w:szCs w:val="18"/>
              </w:rPr>
              <w:t>对无法进行调整和校准的医疗器械，如某些类型的温度计，应尽量降低测量或控制机制精度的损失风险。</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A5.5</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与其他医疗器械或产品联合使用的医疗器械的设计和生产，其互操作性和兼容性应可靠且安全。</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A5.6</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医疗器械的设计和生产应能降低未经授权的访问风险，这种访问可能会妨碍器械正常运行，或造成安全隐患。</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A5.7</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具有测量、监视或有数值显示功能的医疗器械，考虑到预期使用环境、使用者、预期用途，其设计和生产应符合人体工程学</w:t>
            </w:r>
            <w:r>
              <w:rPr>
                <w:color w:val="000000"/>
                <w:kern w:val="0"/>
                <w:szCs w:val="18"/>
              </w:rPr>
              <w:t>/</w:t>
            </w:r>
            <w:r>
              <w:rPr>
                <w:color w:val="000000"/>
                <w:kern w:val="0"/>
                <w:szCs w:val="18"/>
              </w:rPr>
              <w:t>可用性原则。</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lastRenderedPageBreak/>
              <w:t>A5.8</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医疗器械的设计和生产，应便于使用者、患者或其他人员对其安全处置或再利用；应便于相关废弃物的安全处置或再利用。使用说明书应明确安全处置或回收的程序和方法。</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rsidP="000458F8">
            <w:pPr>
              <w:pStyle w:val="ad"/>
              <w:widowControl w:val="0"/>
              <w:ind w:firstLine="420"/>
              <w:jc w:val="center"/>
              <w:rPr>
                <w:rFonts w:ascii="Times New Roman" w:eastAsia="宋体" w:hAnsi="Times New Roman"/>
                <w:bCs w:val="0"/>
                <w:color w:val="000000"/>
                <w:kern w:val="2"/>
                <w:sz w:val="21"/>
              </w:rPr>
            </w:pPr>
            <w:r>
              <w:rPr>
                <w:rFonts w:ascii="Times New Roman" w:eastAsia="宋体" w:hAnsi="Times New Roman"/>
                <w:bCs w:val="0"/>
                <w:color w:val="000000"/>
                <w:kern w:val="2"/>
                <w:sz w:val="21"/>
              </w:rPr>
              <w:t>A6</w:t>
            </w:r>
          </w:p>
        </w:tc>
        <w:tc>
          <w:tcPr>
            <w:tcW w:w="8218" w:type="dxa"/>
            <w:gridSpan w:val="4"/>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具有诊断或测量功能的医疗器械</w:t>
            </w: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A6.1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具有诊断或测量</w:t>
            </w:r>
            <w:r>
              <w:rPr>
                <w:color w:val="000000"/>
                <w:kern w:val="0"/>
                <w:szCs w:val="18"/>
              </w:rPr>
              <w:t>(</w:t>
            </w:r>
            <w:r>
              <w:rPr>
                <w:color w:val="000000"/>
                <w:kern w:val="0"/>
                <w:szCs w:val="18"/>
              </w:rPr>
              <w:t>包括监测</w:t>
            </w:r>
            <w:r>
              <w:rPr>
                <w:color w:val="000000"/>
                <w:kern w:val="0"/>
                <w:szCs w:val="18"/>
              </w:rPr>
              <w:t>)</w:t>
            </w:r>
            <w:r>
              <w:rPr>
                <w:color w:val="000000"/>
                <w:kern w:val="0"/>
                <w:szCs w:val="18"/>
              </w:rPr>
              <w:t>功能的医疗器械的设计和生产，应基于适当的科学和技术方法，除其他性能外，还应确保相应的准确度、精密度和稳定性，以实现其预期目的。</w:t>
            </w:r>
          </w:p>
          <w:p w:rsidR="00E51889" w:rsidRDefault="00E51889">
            <w:pPr>
              <w:jc w:val="left"/>
              <w:rPr>
                <w:color w:val="000000"/>
                <w:kern w:val="0"/>
                <w:szCs w:val="18"/>
              </w:rPr>
            </w:pPr>
            <w:r>
              <w:rPr>
                <w:color w:val="000000"/>
                <w:kern w:val="0"/>
                <w:szCs w:val="18"/>
              </w:rPr>
              <w:t>a)</w:t>
            </w:r>
            <w:r>
              <w:rPr>
                <w:color w:val="000000"/>
                <w:kern w:val="0"/>
                <w:szCs w:val="18"/>
              </w:rPr>
              <w:t>申请人应规定准确度限值（如适用）。</w:t>
            </w:r>
          </w:p>
          <w:p w:rsidR="00E51889" w:rsidRDefault="00E51889">
            <w:pPr>
              <w:jc w:val="left"/>
              <w:rPr>
                <w:color w:val="000000"/>
                <w:kern w:val="0"/>
                <w:szCs w:val="18"/>
              </w:rPr>
            </w:pPr>
            <w:r>
              <w:rPr>
                <w:color w:val="000000"/>
                <w:kern w:val="0"/>
                <w:szCs w:val="18"/>
              </w:rPr>
              <w:t>b)</w:t>
            </w:r>
            <w:r>
              <w:rPr>
                <w:color w:val="000000"/>
                <w:kern w:val="0"/>
                <w:szCs w:val="18"/>
              </w:rPr>
              <w:t>数字化测量值应以使用者理解和接受的标准化单位表示（如可能），推荐使用国际通用的标准计量单位，考虑到安全性、使用者的熟悉程度和既往的临床实践，也可使用其他公认的计量单位。</w:t>
            </w:r>
          </w:p>
          <w:p w:rsidR="00E51889" w:rsidRDefault="00E51889">
            <w:pPr>
              <w:jc w:val="left"/>
              <w:rPr>
                <w:color w:val="000000"/>
                <w:kern w:val="0"/>
                <w:szCs w:val="18"/>
              </w:rPr>
            </w:pPr>
            <w:r>
              <w:rPr>
                <w:color w:val="000000"/>
                <w:kern w:val="0"/>
                <w:szCs w:val="18"/>
              </w:rPr>
              <w:t>c)</w:t>
            </w:r>
            <w:r>
              <w:rPr>
                <w:color w:val="000000"/>
                <w:kern w:val="0"/>
                <w:szCs w:val="18"/>
              </w:rPr>
              <w:t>医疗器械导示器和控制器的功能应有详细的说明，若器械通过可视化系统提供与操作、操作指示或调整参数有关的说明，该类信息应能够被使用者和患者（适用时）理解。</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A7</w:t>
            </w:r>
          </w:p>
        </w:tc>
        <w:tc>
          <w:tcPr>
            <w:tcW w:w="8218" w:type="dxa"/>
            <w:gridSpan w:val="4"/>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说明书和标签</w:t>
            </w: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A7.1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trHeight w:val="307"/>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rsidP="000458F8">
            <w:pPr>
              <w:pStyle w:val="ad"/>
              <w:widowControl w:val="0"/>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t>A8</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E51889" w:rsidRDefault="00E51889">
            <w:pPr>
              <w:rPr>
                <w:color w:val="000000"/>
                <w:kern w:val="0"/>
                <w:szCs w:val="18"/>
              </w:rPr>
            </w:pPr>
            <w:r>
              <w:rPr>
                <w:color w:val="000000"/>
                <w:kern w:val="0"/>
                <w:szCs w:val="18"/>
              </w:rPr>
              <w:t>对非专业用户使用风险的防护</w:t>
            </w: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A8.1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A8.2</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供非专业用户使用的医疗器械（如自测或近患者检测）的设计和生产应当：</w:t>
            </w:r>
          </w:p>
          <w:p w:rsidR="00E51889" w:rsidRDefault="00E51889">
            <w:pPr>
              <w:jc w:val="left"/>
              <w:rPr>
                <w:color w:val="000000"/>
                <w:kern w:val="0"/>
                <w:szCs w:val="18"/>
              </w:rPr>
            </w:pPr>
            <w:r>
              <w:rPr>
                <w:color w:val="000000"/>
                <w:kern w:val="0"/>
                <w:szCs w:val="18"/>
              </w:rPr>
              <w:t>a)</w:t>
            </w:r>
            <w:r>
              <w:rPr>
                <w:color w:val="000000"/>
                <w:kern w:val="0"/>
                <w:szCs w:val="18"/>
              </w:rPr>
              <w:t>确保使用者可以按照使用说明书的规定安全准确的使用。当无法将与说明书相关的风险降低到适当水平时，可以通过培训来降低此类风险；</w:t>
            </w:r>
          </w:p>
          <w:p w:rsidR="00E51889" w:rsidRDefault="00E51889">
            <w:pPr>
              <w:jc w:val="left"/>
              <w:rPr>
                <w:color w:val="000000"/>
                <w:kern w:val="0"/>
                <w:szCs w:val="18"/>
              </w:rPr>
            </w:pPr>
            <w:r>
              <w:rPr>
                <w:color w:val="000000"/>
                <w:kern w:val="0"/>
                <w:szCs w:val="18"/>
              </w:rPr>
              <w:t>b)</w:t>
            </w:r>
            <w:r>
              <w:rPr>
                <w:color w:val="000000"/>
                <w:kern w:val="0"/>
                <w:szCs w:val="18"/>
              </w:rPr>
              <w:t>尽可能减少非专业用户因错误操作和错误解释结果导致的风险。</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A8.3</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供非专业用户使用的医疗器械可通过以下措施方便用户：</w:t>
            </w:r>
          </w:p>
          <w:p w:rsidR="00E51889" w:rsidRDefault="00E51889">
            <w:pPr>
              <w:jc w:val="left"/>
              <w:rPr>
                <w:color w:val="000000"/>
                <w:kern w:val="0"/>
                <w:szCs w:val="18"/>
              </w:rPr>
            </w:pPr>
            <w:r>
              <w:rPr>
                <w:color w:val="000000"/>
                <w:kern w:val="0"/>
                <w:szCs w:val="18"/>
              </w:rPr>
              <w:lastRenderedPageBreak/>
              <w:t>a)</w:t>
            </w:r>
            <w:r>
              <w:rPr>
                <w:color w:val="000000"/>
                <w:kern w:val="0"/>
                <w:szCs w:val="18"/>
              </w:rPr>
              <w:t>在使用时，可以验证器械的正常运行；</w:t>
            </w:r>
          </w:p>
          <w:p w:rsidR="00E51889" w:rsidRDefault="00E51889">
            <w:pPr>
              <w:jc w:val="left"/>
              <w:rPr>
                <w:color w:val="000000"/>
                <w:kern w:val="0"/>
                <w:szCs w:val="18"/>
              </w:rPr>
            </w:pPr>
            <w:r>
              <w:rPr>
                <w:color w:val="000000"/>
                <w:kern w:val="0"/>
                <w:szCs w:val="18"/>
              </w:rPr>
              <w:t>b)</w:t>
            </w:r>
            <w:r>
              <w:rPr>
                <w:color w:val="000000"/>
                <w:kern w:val="0"/>
                <w:szCs w:val="18"/>
              </w:rPr>
              <w:t>当器械不能正常运行或提供无效结果时，会发出警告。</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lastRenderedPageBreak/>
              <w:t>A9</w:t>
            </w:r>
          </w:p>
        </w:tc>
        <w:tc>
          <w:tcPr>
            <w:tcW w:w="8218" w:type="dxa"/>
            <w:gridSpan w:val="4"/>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含有生物源材料的医疗器械</w:t>
            </w: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A9.1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对于含有动植物组织、细胞或其它物质，细菌来源物质或衍生物的医疗器械，若无活性或以非活性状态交付，应当：</w:t>
            </w:r>
          </w:p>
          <w:p w:rsidR="00E51889" w:rsidRDefault="00E51889">
            <w:pPr>
              <w:jc w:val="left"/>
              <w:rPr>
                <w:color w:val="000000"/>
                <w:kern w:val="0"/>
                <w:szCs w:val="18"/>
              </w:rPr>
            </w:pPr>
            <w:r>
              <w:rPr>
                <w:color w:val="000000"/>
                <w:kern w:val="0"/>
                <w:szCs w:val="18"/>
              </w:rPr>
              <w:t>a)</w:t>
            </w:r>
            <w:r>
              <w:rPr>
                <w:color w:val="000000"/>
                <w:kern w:val="0"/>
                <w:szCs w:val="18"/>
              </w:rPr>
              <w:t>组织、细胞及其衍生物应来源于已受控且符合预期用途的动物种属。动物的地理来源信息应根据相关法规要求予以保留。</w:t>
            </w:r>
          </w:p>
          <w:p w:rsidR="00E51889" w:rsidRDefault="00E51889">
            <w:pPr>
              <w:jc w:val="left"/>
              <w:rPr>
                <w:color w:val="000000"/>
                <w:kern w:val="0"/>
                <w:szCs w:val="18"/>
              </w:rPr>
            </w:pPr>
            <w:r>
              <w:rPr>
                <w:color w:val="000000"/>
                <w:kern w:val="0"/>
                <w:szCs w:val="18"/>
              </w:rPr>
              <w:t>b)</w:t>
            </w:r>
            <w:r>
              <w:rPr>
                <w:color w:val="000000"/>
                <w:kern w:val="0"/>
                <w:szCs w:val="1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A9.2</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对于监管部门而言，当医疗器械由人体来源的组织、细胞、物质或其衍生物生产时，应当采取以下措施：</w:t>
            </w:r>
          </w:p>
          <w:p w:rsidR="00E51889" w:rsidRDefault="00E51889">
            <w:pPr>
              <w:jc w:val="left"/>
              <w:rPr>
                <w:color w:val="000000"/>
                <w:kern w:val="0"/>
                <w:szCs w:val="18"/>
              </w:rPr>
            </w:pPr>
            <w:r>
              <w:rPr>
                <w:color w:val="000000"/>
                <w:kern w:val="0"/>
                <w:szCs w:val="18"/>
              </w:rPr>
              <w:t>a)</w:t>
            </w:r>
            <w:r>
              <w:rPr>
                <w:color w:val="000000"/>
                <w:kern w:val="0"/>
                <w:szCs w:val="18"/>
              </w:rPr>
              <w:t>组织、细胞的捐赠、获取和检测应依据相关法规的要求进行；</w:t>
            </w:r>
          </w:p>
          <w:p w:rsidR="00E51889" w:rsidRDefault="00E51889">
            <w:pPr>
              <w:jc w:val="left"/>
              <w:rPr>
                <w:color w:val="000000"/>
                <w:kern w:val="0"/>
                <w:szCs w:val="18"/>
              </w:rPr>
            </w:pPr>
            <w:r>
              <w:rPr>
                <w:color w:val="000000"/>
                <w:kern w:val="0"/>
                <w:szCs w:val="18"/>
              </w:rPr>
              <w:t>b)</w:t>
            </w:r>
            <w:r>
              <w:rPr>
                <w:color w:val="000000"/>
                <w:kern w:val="0"/>
                <w:szCs w:val="18"/>
              </w:rPr>
              <w:t>为确保患者、使用者或他人的安全，应对组织、细胞或其衍生物进行加工、保存或其他处理。对于病毒和其他传染源，应通过源头控制，或在生产过程中通过经验证的先进技术消除或灭活。</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A9.3</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当医疗器械使用</w:t>
            </w:r>
            <w:r>
              <w:rPr>
                <w:color w:val="000000"/>
                <w:kern w:val="0"/>
                <w:szCs w:val="18"/>
              </w:rPr>
              <w:t>A13.1</w:t>
            </w:r>
            <w:r>
              <w:rPr>
                <w:color w:val="000000"/>
                <w:kern w:val="0"/>
                <w:szCs w:val="18"/>
              </w:rPr>
              <w:t>、</w:t>
            </w:r>
            <w:r>
              <w:rPr>
                <w:color w:val="000000"/>
                <w:kern w:val="0"/>
                <w:szCs w:val="18"/>
              </w:rPr>
              <w:t>A13.2</w:t>
            </w:r>
            <w:r>
              <w:rPr>
                <w:color w:val="000000"/>
                <w:kern w:val="0"/>
                <w:szCs w:val="1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以确保安全。</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B</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适用于</w:t>
            </w:r>
            <w:r>
              <w:rPr>
                <w:color w:val="000000"/>
                <w:kern w:val="0"/>
                <w:szCs w:val="18"/>
              </w:rPr>
              <w:t>IVD</w:t>
            </w:r>
            <w:r>
              <w:rPr>
                <w:color w:val="000000"/>
                <w:kern w:val="0"/>
                <w:szCs w:val="18"/>
              </w:rPr>
              <w:t>医疗器械的基本原则</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B1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化学、物理和生物特性</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B1.1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关于</w:t>
            </w:r>
            <w:r>
              <w:rPr>
                <w:color w:val="000000"/>
                <w:kern w:val="0"/>
                <w:szCs w:val="18"/>
              </w:rPr>
              <w:t>IVD</w:t>
            </w:r>
            <w:r>
              <w:rPr>
                <w:color w:val="000000"/>
                <w:kern w:val="0"/>
                <w:szCs w:val="18"/>
              </w:rPr>
              <w:t>医疗器械的化学、物理和生物学特性，考虑到产品的预期用途，应注意由于所用材料与待检测或测定的标本、分析物或标志物之间的物理和</w:t>
            </w:r>
            <w:r>
              <w:rPr>
                <w:color w:val="000000"/>
                <w:kern w:val="0"/>
                <w:szCs w:val="18"/>
              </w:rPr>
              <w:t>/</w:t>
            </w:r>
            <w:r>
              <w:rPr>
                <w:color w:val="000000"/>
                <w:kern w:val="0"/>
                <w:szCs w:val="18"/>
              </w:rPr>
              <w:t>或化学不相容性而导致分析性能受损的可能性（如生物组织、细胞、体液和微生物）。</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B2</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性能特性</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B2.1</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IVD</w:t>
            </w:r>
            <w:r>
              <w:rPr>
                <w:color w:val="000000"/>
                <w:kern w:val="0"/>
                <w:szCs w:val="18"/>
              </w:rPr>
              <w:t>医疗器械应达到申请人声称的适用于预期用途的分析和临床性能指标，同时应考虑适用人</w:t>
            </w:r>
            <w:r>
              <w:rPr>
                <w:color w:val="000000"/>
                <w:kern w:val="0"/>
                <w:szCs w:val="18"/>
              </w:rPr>
              <w:lastRenderedPageBreak/>
              <w:t>群、预期使用者和使用环境。应使用合理的、经验证的、公认的技术方法，确定上述指标。</w:t>
            </w:r>
          </w:p>
          <w:p w:rsidR="00E51889" w:rsidRDefault="00E51889">
            <w:pPr>
              <w:jc w:val="left"/>
              <w:rPr>
                <w:color w:val="000000"/>
                <w:kern w:val="0"/>
                <w:szCs w:val="18"/>
              </w:rPr>
            </w:pPr>
            <w:r>
              <w:rPr>
                <w:color w:val="000000"/>
                <w:kern w:val="0"/>
                <w:szCs w:val="18"/>
              </w:rPr>
              <w:t>a)</w:t>
            </w:r>
            <w:r>
              <w:rPr>
                <w:color w:val="000000"/>
                <w:kern w:val="0"/>
                <w:szCs w:val="18"/>
              </w:rPr>
              <w:t>分析性能包括不限于，</w:t>
            </w:r>
          </w:p>
          <w:p w:rsidR="00E51889" w:rsidRDefault="00E51889">
            <w:pPr>
              <w:jc w:val="left"/>
              <w:rPr>
                <w:color w:val="000000"/>
                <w:kern w:val="0"/>
                <w:szCs w:val="18"/>
              </w:rPr>
            </w:pPr>
            <w:r>
              <w:rPr>
                <w:color w:val="000000"/>
                <w:kern w:val="0"/>
                <w:szCs w:val="18"/>
              </w:rPr>
              <w:t>a</w:t>
            </w:r>
            <w:r>
              <w:rPr>
                <w:color w:val="000000"/>
                <w:kern w:val="0"/>
                <w:szCs w:val="18"/>
              </w:rPr>
              <w:t>校准品和质控品的溯源、赋值</w:t>
            </w:r>
          </w:p>
          <w:p w:rsidR="00E51889" w:rsidRDefault="00E51889">
            <w:pPr>
              <w:jc w:val="left"/>
              <w:rPr>
                <w:color w:val="000000"/>
                <w:kern w:val="0"/>
                <w:szCs w:val="18"/>
              </w:rPr>
            </w:pPr>
            <w:r>
              <w:rPr>
                <w:color w:val="000000"/>
                <w:kern w:val="0"/>
                <w:szCs w:val="18"/>
              </w:rPr>
              <w:t>b</w:t>
            </w:r>
            <w:r>
              <w:rPr>
                <w:color w:val="000000"/>
                <w:kern w:val="0"/>
                <w:szCs w:val="18"/>
              </w:rPr>
              <w:t>准确度（正确度和精密度）</w:t>
            </w:r>
          </w:p>
          <w:p w:rsidR="00E51889" w:rsidRDefault="00E51889">
            <w:pPr>
              <w:jc w:val="left"/>
              <w:rPr>
                <w:color w:val="000000"/>
                <w:kern w:val="0"/>
                <w:szCs w:val="18"/>
              </w:rPr>
            </w:pPr>
            <w:r>
              <w:rPr>
                <w:color w:val="000000"/>
                <w:kern w:val="0"/>
                <w:szCs w:val="18"/>
              </w:rPr>
              <w:t>c</w:t>
            </w:r>
            <w:r>
              <w:rPr>
                <w:color w:val="000000"/>
                <w:kern w:val="0"/>
                <w:szCs w:val="18"/>
              </w:rPr>
              <w:t>分析灵敏度</w:t>
            </w:r>
            <w:r>
              <w:rPr>
                <w:color w:val="000000"/>
                <w:kern w:val="0"/>
                <w:szCs w:val="18"/>
              </w:rPr>
              <w:t>/</w:t>
            </w:r>
            <w:r>
              <w:rPr>
                <w:color w:val="000000"/>
                <w:kern w:val="0"/>
                <w:szCs w:val="18"/>
              </w:rPr>
              <w:t>最低检出限</w:t>
            </w:r>
          </w:p>
          <w:p w:rsidR="00E51889" w:rsidRDefault="00E51889">
            <w:pPr>
              <w:jc w:val="left"/>
              <w:rPr>
                <w:color w:val="000000"/>
                <w:kern w:val="0"/>
                <w:szCs w:val="18"/>
              </w:rPr>
            </w:pPr>
            <w:r>
              <w:rPr>
                <w:color w:val="000000"/>
                <w:kern w:val="0"/>
                <w:szCs w:val="18"/>
              </w:rPr>
              <w:t>d</w:t>
            </w:r>
            <w:r>
              <w:rPr>
                <w:color w:val="000000"/>
                <w:kern w:val="0"/>
                <w:szCs w:val="18"/>
              </w:rPr>
              <w:t>分析特异性</w:t>
            </w:r>
          </w:p>
          <w:p w:rsidR="00E51889" w:rsidRDefault="00E51889">
            <w:pPr>
              <w:jc w:val="left"/>
              <w:rPr>
                <w:color w:val="000000"/>
                <w:kern w:val="0"/>
                <w:szCs w:val="18"/>
              </w:rPr>
            </w:pPr>
            <w:r>
              <w:rPr>
                <w:color w:val="000000"/>
                <w:kern w:val="0"/>
                <w:szCs w:val="18"/>
              </w:rPr>
              <w:t>e</w:t>
            </w:r>
            <w:r>
              <w:rPr>
                <w:color w:val="000000"/>
                <w:kern w:val="0"/>
                <w:szCs w:val="18"/>
              </w:rPr>
              <w:t>测量区间</w:t>
            </w:r>
          </w:p>
          <w:p w:rsidR="00E51889" w:rsidRDefault="00E51889">
            <w:pPr>
              <w:jc w:val="left"/>
              <w:rPr>
                <w:color w:val="000000"/>
                <w:kern w:val="0"/>
                <w:szCs w:val="18"/>
              </w:rPr>
            </w:pPr>
            <w:r>
              <w:rPr>
                <w:color w:val="000000"/>
                <w:kern w:val="0"/>
                <w:szCs w:val="18"/>
              </w:rPr>
              <w:t>f</w:t>
            </w:r>
            <w:r>
              <w:rPr>
                <w:color w:val="000000"/>
                <w:kern w:val="0"/>
                <w:szCs w:val="18"/>
              </w:rPr>
              <w:t>样本稳定性</w:t>
            </w:r>
          </w:p>
          <w:p w:rsidR="00E51889" w:rsidRDefault="00E51889">
            <w:pPr>
              <w:jc w:val="left"/>
              <w:rPr>
                <w:color w:val="000000"/>
                <w:kern w:val="0"/>
                <w:szCs w:val="18"/>
              </w:rPr>
            </w:pPr>
            <w:r>
              <w:rPr>
                <w:color w:val="000000"/>
                <w:kern w:val="0"/>
                <w:szCs w:val="18"/>
              </w:rPr>
              <w:t>b)</w:t>
            </w:r>
            <w:r>
              <w:rPr>
                <w:color w:val="000000"/>
                <w:kern w:val="0"/>
                <w:szCs w:val="18"/>
              </w:rPr>
              <w:t>临床性能，如临床诊断敏感性、临床诊断特异性、阳性预测值、阴性预测值、似然比、以及正常和异常人群的阳性判断值或参考区间。</w:t>
            </w:r>
          </w:p>
          <w:p w:rsidR="00E51889" w:rsidRDefault="00E51889">
            <w:pPr>
              <w:jc w:val="left"/>
              <w:rPr>
                <w:color w:val="000000"/>
                <w:kern w:val="0"/>
                <w:szCs w:val="18"/>
              </w:rPr>
            </w:pPr>
            <w:r>
              <w:rPr>
                <w:color w:val="000000"/>
                <w:kern w:val="0"/>
                <w:szCs w:val="18"/>
              </w:rPr>
              <w:t>c)</w:t>
            </w:r>
            <w:r>
              <w:rPr>
                <w:color w:val="000000"/>
                <w:kern w:val="0"/>
                <w:szCs w:val="18"/>
              </w:rPr>
              <w:t>验证控制程序，以确保使用者按照预期用途使用</w:t>
            </w:r>
            <w:r>
              <w:rPr>
                <w:color w:val="000000"/>
                <w:kern w:val="0"/>
                <w:szCs w:val="18"/>
              </w:rPr>
              <w:t>IVD</w:t>
            </w:r>
            <w:r>
              <w:rPr>
                <w:color w:val="000000"/>
                <w:kern w:val="0"/>
                <w:szCs w:val="18"/>
              </w:rPr>
              <w:t>医疗器械，因此其结果适合预期用途。</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rsidTr="000458F8">
        <w:trPr>
          <w:trHeight w:val="2390"/>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lastRenderedPageBreak/>
              <w:t>B2.2</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如果</w:t>
            </w:r>
            <w:r>
              <w:rPr>
                <w:color w:val="000000"/>
                <w:kern w:val="0"/>
                <w:szCs w:val="18"/>
              </w:rPr>
              <w:t>IVD</w:t>
            </w:r>
            <w:r>
              <w:rPr>
                <w:color w:val="000000"/>
                <w:kern w:val="0"/>
                <w:szCs w:val="18"/>
              </w:rPr>
              <w:t>医疗器械的性能取决于使用的校准品或质控品，应通过可用的参考测量程序或可提供的更高级别的参考物质，来确保这些定标液或质控品的赋值具有溯源性，（当</w:t>
            </w:r>
            <w:r>
              <w:rPr>
                <w:color w:val="000000"/>
                <w:kern w:val="0"/>
                <w:szCs w:val="18"/>
              </w:rPr>
              <w:t>IVD</w:t>
            </w:r>
            <w:r>
              <w:rPr>
                <w:color w:val="000000"/>
                <w:kern w:val="0"/>
                <w:szCs w:val="18"/>
              </w:rPr>
              <w:t>医疗器械的性能依赖于校准品或质控品的使用时，应通过参考测量程序或更高级别的参考物质溯源校准品或质控品的赋值。）</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rsidTr="000458F8">
        <w:trPr>
          <w:trHeight w:val="1404"/>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B2.3</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rPr>
              <w:t>在可能的情况下，数字表示的数值应采用普遍接受的标准化单位，并且可被</w:t>
            </w:r>
            <w:r>
              <w:rPr>
                <w:color w:val="000000"/>
                <w:kern w:val="0"/>
              </w:rPr>
              <w:t>IVD</w:t>
            </w:r>
            <w:r>
              <w:rPr>
                <w:color w:val="000000"/>
                <w:kern w:val="0"/>
              </w:rPr>
              <w:t>医疗器械的使用者理解。（数值标识应尽可能地采用标准化单位，且易于使用者理解。）</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t>B2.4</w:t>
            </w:r>
          </w:p>
        </w:tc>
        <w:tc>
          <w:tcPr>
            <w:tcW w:w="4521" w:type="dxa"/>
            <w:tcBorders>
              <w:top w:val="single" w:sz="4" w:space="0" w:color="auto"/>
              <w:left w:val="single" w:sz="4" w:space="0" w:color="auto"/>
              <w:bottom w:val="single" w:sz="4" w:space="0" w:color="auto"/>
              <w:right w:val="single" w:sz="4" w:space="0" w:color="auto"/>
            </w:tcBorders>
          </w:tcPr>
          <w:p w:rsidR="00E51889" w:rsidRDefault="00E51889">
            <w:pPr>
              <w:jc w:val="left"/>
              <w:rPr>
                <w:color w:val="000000"/>
                <w:kern w:val="0"/>
                <w:szCs w:val="18"/>
              </w:rPr>
            </w:pPr>
            <w:r>
              <w:rPr>
                <w:color w:val="000000"/>
                <w:kern w:val="0"/>
                <w:szCs w:val="18"/>
              </w:rPr>
              <w:t>IVD</w:t>
            </w:r>
            <w:r>
              <w:rPr>
                <w:color w:val="000000"/>
                <w:kern w:val="0"/>
                <w:szCs w:val="18"/>
              </w:rPr>
              <w:t>医疗器械的性能特征应根据预期用途进行评估，包括以下内容：</w:t>
            </w:r>
          </w:p>
          <w:p w:rsidR="00E51889" w:rsidRDefault="00E51889" w:rsidP="000458F8">
            <w:pPr>
              <w:pStyle w:val="ac"/>
              <w:widowControl w:val="0"/>
              <w:ind w:left="0"/>
              <w:rPr>
                <w:color w:val="000000"/>
                <w:sz w:val="21"/>
                <w:szCs w:val="18"/>
              </w:rPr>
            </w:pPr>
            <w:r>
              <w:rPr>
                <w:color w:val="000000"/>
                <w:sz w:val="21"/>
                <w:szCs w:val="18"/>
              </w:rPr>
              <w:t>a)</w:t>
            </w:r>
            <w:r>
              <w:rPr>
                <w:color w:val="000000"/>
                <w:sz w:val="21"/>
                <w:szCs w:val="18"/>
              </w:rPr>
              <w:t>预期使用者，例如非专业人员、实验室专业人员；</w:t>
            </w:r>
          </w:p>
          <w:p w:rsidR="00E51889" w:rsidRDefault="00E51889" w:rsidP="000458F8">
            <w:pPr>
              <w:pStyle w:val="ac"/>
              <w:widowControl w:val="0"/>
              <w:ind w:left="0"/>
              <w:rPr>
                <w:color w:val="000000"/>
                <w:sz w:val="21"/>
                <w:szCs w:val="18"/>
              </w:rPr>
            </w:pPr>
            <w:r>
              <w:rPr>
                <w:color w:val="000000"/>
                <w:sz w:val="21"/>
                <w:szCs w:val="18"/>
              </w:rPr>
              <w:t>b)</w:t>
            </w:r>
            <w:r>
              <w:rPr>
                <w:color w:val="000000"/>
                <w:sz w:val="21"/>
                <w:szCs w:val="18"/>
              </w:rPr>
              <w:t>预期使用环境，例如：患者住所、急诊室、救护车、医疗中心、实验室；</w:t>
            </w:r>
          </w:p>
          <w:p w:rsidR="00E51889" w:rsidRDefault="00E51889" w:rsidP="000458F8">
            <w:pPr>
              <w:pStyle w:val="ac"/>
              <w:widowControl w:val="0"/>
              <w:ind w:left="0"/>
              <w:rPr>
                <w:color w:val="000000"/>
                <w:sz w:val="21"/>
                <w:szCs w:val="18"/>
              </w:rPr>
            </w:pPr>
            <w:r>
              <w:rPr>
                <w:color w:val="000000"/>
                <w:sz w:val="21"/>
                <w:szCs w:val="18"/>
              </w:rPr>
              <w:t>c)</w:t>
            </w:r>
            <w:r>
              <w:rPr>
                <w:color w:val="000000"/>
                <w:sz w:val="21"/>
                <w:szCs w:val="18"/>
              </w:rPr>
              <w:t>相关人群，如儿童、成人、孕妇、具有特定疾病体征和症状的个体、接受鉴别诊断的患者等。适当情况下，评估的人群应酌情代表种族，性别和遗传多样性群体，以代表产品拟上市销售地区的人群。</w:t>
            </w:r>
          </w:p>
          <w:p w:rsidR="00E51889" w:rsidRDefault="00E51889">
            <w:pPr>
              <w:jc w:val="left"/>
              <w:rPr>
                <w:color w:val="000000"/>
                <w:kern w:val="0"/>
                <w:szCs w:val="18"/>
              </w:rPr>
            </w:pPr>
            <w:r>
              <w:rPr>
                <w:color w:val="000000"/>
                <w:kern w:val="0"/>
              </w:rPr>
              <w:t>对于传染病，建议选择的人群具有相似的患病</w:t>
            </w:r>
            <w:r>
              <w:rPr>
                <w:color w:val="000000"/>
                <w:kern w:val="0"/>
              </w:rPr>
              <w:lastRenderedPageBreak/>
              <w:t>率。</w:t>
            </w:r>
          </w:p>
        </w:tc>
        <w:tc>
          <w:tcPr>
            <w:tcW w:w="76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p>
        </w:tc>
      </w:tr>
      <w:tr w:rsidR="00E51889">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E51889" w:rsidRDefault="00E51889">
            <w:pPr>
              <w:jc w:val="center"/>
              <w:rPr>
                <w:color w:val="000000"/>
                <w:kern w:val="0"/>
                <w:szCs w:val="18"/>
              </w:rPr>
            </w:pPr>
            <w:r>
              <w:rPr>
                <w:color w:val="000000"/>
                <w:kern w:val="0"/>
                <w:szCs w:val="18"/>
              </w:rPr>
              <w:lastRenderedPageBreak/>
              <w:t>说明</w:t>
            </w:r>
          </w:p>
        </w:tc>
        <w:tc>
          <w:tcPr>
            <w:tcW w:w="8218" w:type="dxa"/>
            <w:gridSpan w:val="4"/>
            <w:tcBorders>
              <w:top w:val="single" w:sz="4" w:space="0" w:color="auto"/>
              <w:left w:val="single" w:sz="4" w:space="0" w:color="auto"/>
              <w:bottom w:val="single" w:sz="4" w:space="0" w:color="auto"/>
              <w:right w:val="single" w:sz="4" w:space="0" w:color="auto"/>
            </w:tcBorders>
          </w:tcPr>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1.</w:t>
            </w:r>
            <w:r>
              <w:rPr>
                <w:rFonts w:ascii="Times New Roman" w:hAnsi="Times New Roman"/>
                <w:color w:val="000000"/>
                <w:kern w:val="2"/>
                <w:sz w:val="21"/>
                <w:szCs w:val="18"/>
              </w:rPr>
              <w:t>第</w:t>
            </w:r>
            <w:r>
              <w:rPr>
                <w:rFonts w:ascii="Times New Roman" w:hAnsi="Times New Roman"/>
                <w:color w:val="000000"/>
                <w:kern w:val="2"/>
                <w:sz w:val="21"/>
                <w:szCs w:val="18"/>
              </w:rPr>
              <w:t>3</w:t>
            </w:r>
            <w:r>
              <w:rPr>
                <w:rFonts w:ascii="Times New Roman" w:hAnsi="Times New Roman"/>
                <w:color w:val="000000"/>
                <w:kern w:val="2"/>
                <w:sz w:val="21"/>
                <w:szCs w:val="18"/>
              </w:rPr>
              <w:t>列若适用，应当注明</w:t>
            </w:r>
            <w:r>
              <w:rPr>
                <w:rFonts w:ascii="Times New Roman" w:hAnsi="Times New Roman"/>
                <w:color w:val="000000"/>
                <w:kern w:val="2"/>
                <w:sz w:val="21"/>
                <w:szCs w:val="18"/>
              </w:rPr>
              <w:t>“</w:t>
            </w:r>
            <w:r>
              <w:rPr>
                <w:rFonts w:ascii="Times New Roman" w:hAnsi="Times New Roman"/>
                <w:color w:val="000000"/>
                <w:kern w:val="2"/>
                <w:sz w:val="21"/>
                <w:szCs w:val="18"/>
              </w:rPr>
              <w:t>是</w:t>
            </w:r>
            <w:r>
              <w:rPr>
                <w:rFonts w:ascii="Times New Roman" w:hAnsi="Times New Roman"/>
                <w:color w:val="000000"/>
                <w:kern w:val="2"/>
                <w:sz w:val="21"/>
                <w:szCs w:val="18"/>
              </w:rPr>
              <w:t>”</w:t>
            </w:r>
            <w:r>
              <w:rPr>
                <w:rFonts w:ascii="Times New Roman" w:hAnsi="Times New Roman"/>
                <w:color w:val="000000"/>
                <w:kern w:val="2"/>
                <w:sz w:val="21"/>
                <w:szCs w:val="18"/>
              </w:rPr>
              <w:t>。不适用应当注明</w:t>
            </w:r>
            <w:r>
              <w:rPr>
                <w:rFonts w:ascii="Times New Roman" w:hAnsi="Times New Roman"/>
                <w:color w:val="000000"/>
                <w:kern w:val="2"/>
                <w:sz w:val="21"/>
                <w:szCs w:val="18"/>
              </w:rPr>
              <w:t>“</w:t>
            </w:r>
            <w:r>
              <w:rPr>
                <w:rFonts w:ascii="Times New Roman" w:hAnsi="Times New Roman"/>
                <w:color w:val="000000"/>
                <w:kern w:val="2"/>
                <w:sz w:val="21"/>
                <w:szCs w:val="18"/>
              </w:rPr>
              <w:t>否</w:t>
            </w:r>
            <w:r>
              <w:rPr>
                <w:rFonts w:ascii="Times New Roman" w:hAnsi="Times New Roman"/>
                <w:color w:val="000000"/>
                <w:kern w:val="2"/>
                <w:sz w:val="21"/>
                <w:szCs w:val="18"/>
              </w:rPr>
              <w:t>”</w:t>
            </w:r>
            <w:r>
              <w:rPr>
                <w:rFonts w:ascii="Times New Roman" w:hAnsi="Times New Roman"/>
                <w:color w:val="000000"/>
                <w:kern w:val="2"/>
                <w:sz w:val="21"/>
                <w:szCs w:val="18"/>
              </w:rPr>
              <w:t>，并结合产品特点说明不适用的理由。</w:t>
            </w:r>
          </w:p>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 xml:space="preserve">2. </w:t>
            </w:r>
            <w:r>
              <w:rPr>
                <w:rFonts w:ascii="Times New Roman" w:hAnsi="Times New Roman"/>
                <w:color w:val="000000"/>
                <w:kern w:val="2"/>
                <w:sz w:val="21"/>
                <w:szCs w:val="18"/>
              </w:rPr>
              <w:t>第</w:t>
            </w:r>
            <w:r>
              <w:rPr>
                <w:rFonts w:ascii="Times New Roman" w:hAnsi="Times New Roman"/>
                <w:color w:val="000000"/>
                <w:kern w:val="2"/>
                <w:sz w:val="21"/>
                <w:szCs w:val="18"/>
              </w:rPr>
              <w:t>4</w:t>
            </w:r>
            <w:r>
              <w:rPr>
                <w:rFonts w:ascii="Times New Roman" w:hAnsi="Times New Roman"/>
                <w:color w:val="000000"/>
                <w:kern w:val="2"/>
                <w:sz w:val="21"/>
                <w:szCs w:val="18"/>
              </w:rPr>
              <w:t>列应当填写证明该医疗器械符合安全和性能基本原则的方法，通常可采取下列方法证明符合基本要求：</w:t>
            </w:r>
          </w:p>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w:t>
            </w:r>
            <w:r>
              <w:rPr>
                <w:rFonts w:ascii="Times New Roman" w:hAnsi="Times New Roman"/>
                <w:color w:val="000000"/>
                <w:kern w:val="2"/>
                <w:sz w:val="21"/>
                <w:szCs w:val="18"/>
              </w:rPr>
              <w:t>1</w:t>
            </w:r>
            <w:r>
              <w:rPr>
                <w:rFonts w:ascii="Times New Roman" w:hAnsi="Times New Roman"/>
                <w:color w:val="000000"/>
                <w:kern w:val="2"/>
                <w:sz w:val="21"/>
                <w:szCs w:val="18"/>
              </w:rPr>
              <w:t>）符合已发布的医疗器械部门规章、规范性文件。</w:t>
            </w:r>
          </w:p>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w:t>
            </w:r>
            <w:r>
              <w:rPr>
                <w:rFonts w:ascii="Times New Roman" w:hAnsi="Times New Roman"/>
                <w:color w:val="000000"/>
                <w:kern w:val="2"/>
                <w:sz w:val="21"/>
                <w:szCs w:val="18"/>
              </w:rPr>
              <w:t>2</w:t>
            </w:r>
            <w:r>
              <w:rPr>
                <w:rFonts w:ascii="Times New Roman" w:hAnsi="Times New Roman"/>
                <w:color w:val="000000"/>
                <w:kern w:val="2"/>
                <w:sz w:val="21"/>
                <w:szCs w:val="18"/>
              </w:rPr>
              <w:t>）符合医疗器械相关国家标准、行业标准、国际标准。</w:t>
            </w:r>
          </w:p>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w:t>
            </w:r>
            <w:r>
              <w:rPr>
                <w:rFonts w:ascii="Times New Roman" w:hAnsi="Times New Roman"/>
                <w:color w:val="000000"/>
                <w:kern w:val="2"/>
                <w:sz w:val="21"/>
                <w:szCs w:val="18"/>
              </w:rPr>
              <w:t>3</w:t>
            </w:r>
            <w:r>
              <w:rPr>
                <w:rFonts w:ascii="Times New Roman" w:hAnsi="Times New Roman"/>
                <w:color w:val="000000"/>
                <w:kern w:val="2"/>
                <w:sz w:val="21"/>
                <w:szCs w:val="18"/>
              </w:rPr>
              <w:t>）符合普遍接受的测试方法。</w:t>
            </w:r>
          </w:p>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w:t>
            </w:r>
            <w:r>
              <w:rPr>
                <w:rFonts w:ascii="Times New Roman" w:hAnsi="Times New Roman"/>
                <w:color w:val="000000"/>
                <w:kern w:val="2"/>
                <w:sz w:val="21"/>
                <w:szCs w:val="18"/>
              </w:rPr>
              <w:t>4</w:t>
            </w:r>
            <w:r>
              <w:rPr>
                <w:rFonts w:ascii="Times New Roman" w:hAnsi="Times New Roman"/>
                <w:color w:val="000000"/>
                <w:kern w:val="2"/>
                <w:sz w:val="21"/>
                <w:szCs w:val="18"/>
              </w:rPr>
              <w:t>）符合企业自定的方法。</w:t>
            </w:r>
          </w:p>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w:t>
            </w:r>
            <w:r>
              <w:rPr>
                <w:rFonts w:ascii="Times New Roman" w:hAnsi="Times New Roman"/>
                <w:color w:val="000000"/>
                <w:kern w:val="2"/>
                <w:sz w:val="21"/>
                <w:szCs w:val="18"/>
              </w:rPr>
              <w:t>5</w:t>
            </w:r>
            <w:r>
              <w:rPr>
                <w:rFonts w:ascii="Times New Roman" w:hAnsi="Times New Roman"/>
                <w:color w:val="000000"/>
                <w:kern w:val="2"/>
                <w:sz w:val="21"/>
                <w:szCs w:val="18"/>
              </w:rPr>
              <w:t>）与已批准上市的同类产品的比较。</w:t>
            </w:r>
          </w:p>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w:t>
            </w:r>
            <w:r>
              <w:rPr>
                <w:rFonts w:ascii="Times New Roman" w:hAnsi="Times New Roman"/>
                <w:color w:val="000000"/>
                <w:kern w:val="2"/>
                <w:sz w:val="21"/>
                <w:szCs w:val="18"/>
              </w:rPr>
              <w:t>6</w:t>
            </w:r>
            <w:r>
              <w:rPr>
                <w:rFonts w:ascii="Times New Roman" w:hAnsi="Times New Roman"/>
                <w:color w:val="000000"/>
                <w:kern w:val="2"/>
                <w:sz w:val="21"/>
                <w:szCs w:val="18"/>
              </w:rPr>
              <w:t>）临床评价。</w:t>
            </w:r>
          </w:p>
          <w:p w:rsidR="00E51889" w:rsidRDefault="00E51889" w:rsidP="000458F8">
            <w:pPr>
              <w:pStyle w:val="ae"/>
              <w:widowControl w:val="0"/>
              <w:jc w:val="left"/>
              <w:rPr>
                <w:rFonts w:ascii="Times New Roman" w:hAnsi="Times New Roman"/>
                <w:color w:val="000000"/>
                <w:kern w:val="2"/>
                <w:sz w:val="21"/>
                <w:szCs w:val="18"/>
              </w:rPr>
            </w:pPr>
            <w:r>
              <w:rPr>
                <w:rFonts w:ascii="Times New Roman" w:hAnsi="Times New Roman"/>
                <w:color w:val="000000"/>
                <w:kern w:val="2"/>
                <w:sz w:val="21"/>
                <w:szCs w:val="18"/>
              </w:rPr>
              <w:t>3.</w:t>
            </w:r>
            <w:r>
              <w:rPr>
                <w:rFonts w:ascii="Times New Roman" w:hAnsi="Times New Roman"/>
                <w:color w:val="000000"/>
                <w:kern w:val="2"/>
                <w:sz w:val="21"/>
                <w:szCs w:val="18"/>
              </w:rPr>
              <w:t>证明符合性的证据包含在产品注册申报资料中，应当说明其在申报资料中的具体位置。证明符合性的证据未包含在产品注册申报资料中，应当注明该证据文件名称及其在质量管理体系文件中的编号备查。</w:t>
            </w:r>
          </w:p>
        </w:tc>
      </w:tr>
    </w:tbl>
    <w:p w:rsidR="00E51889" w:rsidRDefault="00E51889">
      <w:pPr>
        <w:rPr>
          <w:color w:val="000000"/>
        </w:rPr>
      </w:pPr>
    </w:p>
    <w:sectPr w:rsidR="00E51889">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69A" w:rsidRDefault="00DA369A">
      <w:r>
        <w:separator/>
      </w:r>
    </w:p>
  </w:endnote>
  <w:endnote w:type="continuationSeparator" w:id="1">
    <w:p w:rsidR="00DA369A" w:rsidRDefault="00DA3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89" w:rsidRDefault="00E51889">
    <w:pPr>
      <w:pStyle w:val="a6"/>
    </w:pPr>
    <w:r>
      <w:pict>
        <v:shapetype id="_x0000_t202" coordsize="21600,21600" o:spt="202" path="m,l,21600r21600,l21600,xe">
          <v:stroke joinstyle="miter"/>
          <v:path gradientshapeok="t" o:connecttype="rect"/>
        </v:shapetype>
        <v:shape id="文本框 1" o:spid="_x0000_s2050" type="#_x0000_t202" style="position:absolute;margin-left:92.8pt;margin-top:0;width:2in;height:2in;z-index:251657728;mso-wrap-style:none;mso-position-horizontal:outside;mso-position-horizontal-relative:margin" filled="f" stroked="f">
          <v:fill o:detectmouseclick="t"/>
          <v:textbox style="mso-next-textbox:#文本框 1;mso-fit-shape-to-text:t" inset="0,0,0,0">
            <w:txbxContent>
              <w:p w:rsidR="00E51889" w:rsidRDefault="00E51889">
                <w:pPr>
                  <w:pStyle w:val="a6"/>
                  <w:rPr>
                    <w:rFonts w:hint="eastAsia"/>
                  </w:rPr>
                </w:pPr>
                <w:r w:rsidRPr="000458F8">
                  <w:rPr>
                    <w:rFonts w:hint="eastAsia"/>
                    <w:color w:val="FFFFFF"/>
                    <w:sz w:val="28"/>
                    <w:szCs w:val="28"/>
                  </w:rPr>
                  <w:t>—</w:t>
                </w:r>
                <w:r w:rsidRPr="000458F8">
                  <w:rPr>
                    <w:rFonts w:hint="eastAsia"/>
                    <w:sz w:val="28"/>
                    <w:szCs w:val="28"/>
                  </w:rPr>
                  <w:t>—</w:t>
                </w:r>
                <w:r w:rsidRPr="000458F8">
                  <w:rPr>
                    <w:rFonts w:hint="eastAsia"/>
                    <w:sz w:val="28"/>
                    <w:szCs w:val="28"/>
                  </w:rPr>
                  <w:t xml:space="preserve"> </w:t>
                </w:r>
                <w:r w:rsidRPr="000458F8">
                  <w:rPr>
                    <w:sz w:val="28"/>
                    <w:szCs w:val="28"/>
                  </w:rPr>
                  <w:fldChar w:fldCharType="begin"/>
                </w:r>
                <w:r w:rsidRPr="000458F8">
                  <w:rPr>
                    <w:sz w:val="28"/>
                    <w:szCs w:val="28"/>
                  </w:rPr>
                  <w:instrText xml:space="preserve"> PAGE  \* MERGEFORMAT </w:instrText>
                </w:r>
                <w:r w:rsidRPr="000458F8">
                  <w:rPr>
                    <w:sz w:val="28"/>
                    <w:szCs w:val="28"/>
                  </w:rPr>
                  <w:fldChar w:fldCharType="separate"/>
                </w:r>
                <w:r w:rsidR="007D7DA4">
                  <w:rPr>
                    <w:noProof/>
                    <w:sz w:val="28"/>
                    <w:szCs w:val="28"/>
                  </w:rPr>
                  <w:t>9</w:t>
                </w:r>
                <w:r w:rsidRPr="000458F8">
                  <w:rPr>
                    <w:sz w:val="28"/>
                    <w:szCs w:val="28"/>
                  </w:rPr>
                  <w:fldChar w:fldCharType="end"/>
                </w:r>
                <w:r w:rsidRPr="000458F8">
                  <w:rPr>
                    <w:rFonts w:hint="eastAsia"/>
                    <w:sz w:val="28"/>
                    <w:szCs w:val="28"/>
                  </w:rPr>
                  <w:t xml:space="preserve"> </w:t>
                </w:r>
                <w:r w:rsidRPr="000458F8">
                  <w:rPr>
                    <w:rFonts w:hint="eastAsia"/>
                    <w:sz w:val="28"/>
                    <w:szCs w:val="28"/>
                  </w:rPr>
                  <w:t>—</w:t>
                </w:r>
                <w:r w:rsidRPr="000458F8">
                  <w:rPr>
                    <w:rFonts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69A" w:rsidRDefault="00DA369A">
      <w:r>
        <w:separator/>
      </w:r>
    </w:p>
  </w:footnote>
  <w:footnote w:type="continuationSeparator" w:id="1">
    <w:p w:rsidR="00DA369A" w:rsidRDefault="00DA3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4736AA"/>
    <w:multiLevelType w:val="multilevel"/>
    <w:tmpl w:val="F04736AA"/>
    <w:lvl w:ilvl="0">
      <w:start w:val="1"/>
      <w:numFmt w:val="decimal"/>
      <w:suff w:val="nothing"/>
      <w:lvlText w:val="%1."/>
      <w:lvlJc w:val="left"/>
      <w:pPr>
        <w:tabs>
          <w:tab w:val="num" w:pos="0"/>
        </w:tabs>
        <w:ind w:left="1050" w:hanging="45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62395EB2"/>
    <w:multiLevelType w:val="multilevel"/>
    <w:tmpl w:val="62395EB2"/>
    <w:lvl w:ilvl="0">
      <w:start w:val="1"/>
      <w:numFmt w:val="decimal"/>
      <w:lvlText w:val="%1."/>
      <w:lvlJc w:val="left"/>
      <w:pPr>
        <w:ind w:left="1050" w:hanging="45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0C8"/>
    <w:rsid w:val="00016D27"/>
    <w:rsid w:val="00016E93"/>
    <w:rsid w:val="000458F8"/>
    <w:rsid w:val="00051450"/>
    <w:rsid w:val="00071507"/>
    <w:rsid w:val="00086700"/>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D7D8F"/>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D76C2"/>
    <w:rsid w:val="007D7DA4"/>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A63EA"/>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4B31"/>
    <w:rsid w:val="00CC6505"/>
    <w:rsid w:val="00CD27CB"/>
    <w:rsid w:val="00CE7A0B"/>
    <w:rsid w:val="00D03FFD"/>
    <w:rsid w:val="00D53A64"/>
    <w:rsid w:val="00D61B72"/>
    <w:rsid w:val="00DA369A"/>
    <w:rsid w:val="00DD4D3D"/>
    <w:rsid w:val="00DD5C43"/>
    <w:rsid w:val="00DF1936"/>
    <w:rsid w:val="00DF225B"/>
    <w:rsid w:val="00E05A99"/>
    <w:rsid w:val="00E21EF7"/>
    <w:rsid w:val="00E41212"/>
    <w:rsid w:val="00E41A1A"/>
    <w:rsid w:val="00E51889"/>
    <w:rsid w:val="00E73776"/>
    <w:rsid w:val="00ED2031"/>
    <w:rsid w:val="00F64776"/>
    <w:rsid w:val="00F6624B"/>
    <w:rsid w:val="00F8685B"/>
    <w:rsid w:val="00F92CCD"/>
    <w:rsid w:val="00FA60C8"/>
    <w:rsid w:val="00FD22E5"/>
    <w:rsid w:val="00FD443E"/>
    <w:rsid w:val="00FD754D"/>
    <w:rsid w:val="0BEC7EA0"/>
    <w:rsid w:val="0F9E0E77"/>
    <w:rsid w:val="0FF91C1F"/>
    <w:rsid w:val="2A8D465A"/>
    <w:rsid w:val="3DDB23D0"/>
    <w:rsid w:val="3EFF835C"/>
    <w:rsid w:val="3FFBA923"/>
    <w:rsid w:val="43E2636A"/>
    <w:rsid w:val="4C1A048F"/>
    <w:rsid w:val="591D3208"/>
    <w:rsid w:val="5D77D946"/>
    <w:rsid w:val="60F98399"/>
    <w:rsid w:val="63E446CD"/>
    <w:rsid w:val="6FFDC72C"/>
    <w:rsid w:val="77FC843F"/>
    <w:rsid w:val="7BB95E0C"/>
    <w:rsid w:val="7EAF7ADF"/>
    <w:rsid w:val="7ED62E8A"/>
    <w:rsid w:val="7FEF2C4A"/>
    <w:rsid w:val="7FF537AD"/>
    <w:rsid w:val="AF3C4170"/>
    <w:rsid w:val="B7AE4F8B"/>
    <w:rsid w:val="BBAF39D8"/>
    <w:rsid w:val="CAEF02B6"/>
    <w:rsid w:val="CD3F60E1"/>
    <w:rsid w:val="DCFBB2A1"/>
    <w:rsid w:val="EF5B8FCE"/>
    <w:rsid w:val="EFD1423E"/>
    <w:rsid w:val="EFEC18BD"/>
    <w:rsid w:val="EFEDA5E2"/>
    <w:rsid w:val="F2FBB3CF"/>
    <w:rsid w:val="FFBB01AB"/>
    <w:rsid w:val="FFF93F05"/>
    <w:rsid w:val="FFFD05EA"/>
    <w:rsid w:val="FFFF34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iPriority w:val="99"/>
    <w:qFormat/>
    <w:pPr>
      <w:widowControl/>
      <w:spacing w:before="360" w:after="80" w:line="276" w:lineRule="auto"/>
      <w:jc w:val="left"/>
      <w:outlineLvl w:val="1"/>
    </w:pPr>
    <w:rPr>
      <w:rFonts w:ascii="Calibri" w:hAnsi="Calibri"/>
      <w:b/>
      <w:bCs/>
      <w:color w:val="000000"/>
      <w:kern w:val="0"/>
      <w:sz w:val="36"/>
      <w:szCs w:val="36"/>
      <w:lang w:val="pt-BR" w:eastAsia="pt-BR"/>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Cs w:val="20"/>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頁尾 字元"/>
    <w:link w:val="a6"/>
    <w:uiPriority w:val="99"/>
    <w:rPr>
      <w:kern w:val="2"/>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頁首 字元"/>
    <w:link w:val="a8"/>
    <w:uiPriority w:val="99"/>
    <w:rPr>
      <w:kern w:val="2"/>
      <w:sz w:val="18"/>
      <w:szCs w:val="18"/>
    </w:rPr>
  </w:style>
  <w:style w:type="character" w:styleId="aa">
    <w:name w:val="page number"/>
  </w:style>
  <w:style w:type="paragraph" w:customStyle="1" w:styleId="ab">
    <w:name w:val="列标题"/>
    <w:basedOn w:val="2"/>
    <w:qFormat/>
    <w:pPr>
      <w:spacing w:before="0" w:after="0" w:line="240" w:lineRule="auto"/>
      <w:jc w:val="center"/>
    </w:pPr>
    <w:rPr>
      <w:rFonts w:ascii="Tahoma" w:eastAsia="黑体" w:hAnsi="Tahoma"/>
      <w:b w:val="0"/>
      <w:color w:val="333399"/>
      <w:sz w:val="18"/>
      <w:szCs w:val="18"/>
      <w:lang w:val="en-US" w:eastAsia="zh-CN"/>
    </w:rPr>
  </w:style>
  <w:style w:type="paragraph" w:customStyle="1" w:styleId="Web">
    <w:name w:val="普通(Web)"/>
    <w:basedOn w:val="a"/>
    <w:qFormat/>
    <w:pPr>
      <w:widowControl/>
      <w:spacing w:before="100" w:beforeAutospacing="1" w:after="100" w:afterAutospacing="1"/>
      <w:jc w:val="left"/>
    </w:pPr>
    <w:rPr>
      <w:rFonts w:ascii="宋体"/>
      <w:color w:val="000000"/>
      <w:kern w:val="0"/>
      <w:sz w:val="24"/>
    </w:rPr>
  </w:style>
  <w:style w:type="paragraph" w:styleId="ac">
    <w:name w:val="List Paragraph"/>
    <w:basedOn w:val="a"/>
    <w:qFormat/>
    <w:pPr>
      <w:widowControl/>
      <w:spacing w:after="200" w:line="276" w:lineRule="auto"/>
      <w:ind w:left="720"/>
      <w:contextualSpacing/>
      <w:jc w:val="left"/>
    </w:pPr>
    <w:rPr>
      <w:rFonts w:ascii="Calibri" w:hAnsi="Calibri"/>
      <w:kern w:val="0"/>
      <w:sz w:val="22"/>
      <w:szCs w:val="22"/>
      <w:lang w:val="pt-BR" w:eastAsia="pt-BR"/>
    </w:rPr>
  </w:style>
  <w:style w:type="paragraph" w:customStyle="1" w:styleId="ad">
    <w:name w:val="调查项目"/>
    <w:basedOn w:val="a"/>
    <w:qFormat/>
    <w:pPr>
      <w:widowControl/>
      <w:jc w:val="left"/>
      <w:outlineLvl w:val="1"/>
    </w:pPr>
    <w:rPr>
      <w:rFonts w:ascii="Tahoma" w:eastAsia="黑体" w:hAnsi="Tahoma"/>
      <w:bCs/>
      <w:color w:val="333399"/>
      <w:kern w:val="0"/>
      <w:sz w:val="18"/>
      <w:szCs w:val="18"/>
    </w:rPr>
  </w:style>
  <w:style w:type="paragraph" w:customStyle="1" w:styleId="ae">
    <w:name w:val="表格正文文本"/>
    <w:basedOn w:val="a"/>
    <w:qFormat/>
    <w:pPr>
      <w:widowControl/>
      <w:jc w:val="center"/>
    </w:pPr>
    <w:rPr>
      <w:rFonts w:ascii="Tahoma" w:hAnsi="Tahoma"/>
      <w:kern w:val="0"/>
      <w:sz w:val="18"/>
      <w:szCs w:val="20"/>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945</Words>
  <Characters>5390</Characters>
  <Application>Microsoft Office Word</Application>
  <DocSecurity>0</DocSecurity>
  <Lines>44</Lines>
  <Paragraphs>12</Paragraphs>
  <ScaleCrop>false</ScaleCrop>
  <Company>Xtzj.Com</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wilsonpeng</cp:lastModifiedBy>
  <cp:revision>2</cp:revision>
  <cp:lastPrinted>2021-09-30T10:48:00Z</cp:lastPrinted>
  <dcterms:created xsi:type="dcterms:W3CDTF">2021-10-03T13:24:00Z</dcterms:created>
  <dcterms:modified xsi:type="dcterms:W3CDTF">2021-10-03T13:24:00Z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