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CA" w:rsidRDefault="004810CA">
      <w:pPr>
        <w:spacing w:line="560" w:lineRule="exact"/>
        <w:jc w:val="left"/>
        <w:rPr>
          <w:rFonts w:ascii="仿宋_GB2312" w:eastAsia="仿宋_GB2312"/>
          <w:color w:val="000000"/>
          <w:sz w:val="30"/>
          <w:szCs w:val="30"/>
        </w:rPr>
      </w:pPr>
      <w:r>
        <w:rPr>
          <w:rFonts w:ascii="黑体" w:eastAsia="黑体" w:hint="eastAsia"/>
          <w:color w:val="000000"/>
          <w:sz w:val="32"/>
          <w:szCs w:val="32"/>
        </w:rPr>
        <w:t>附件</w:t>
      </w:r>
      <w:r>
        <w:rPr>
          <w:rFonts w:ascii="黑体" w:eastAsia="黑体"/>
          <w:color w:val="000000"/>
          <w:sz w:val="32"/>
          <w:szCs w:val="32"/>
        </w:rPr>
        <w:t>9</w:t>
      </w:r>
    </w:p>
    <w:p w:rsidR="004810CA" w:rsidRDefault="004810CA">
      <w:pPr>
        <w:spacing w:line="480" w:lineRule="exact"/>
        <w:rPr>
          <w:rFonts w:ascii="方正小标宋_GBK" w:eastAsia="方正小标宋_GBK"/>
          <w:color w:val="000000"/>
          <w:sz w:val="36"/>
          <w:szCs w:val="36"/>
        </w:rPr>
      </w:pPr>
    </w:p>
    <w:p w:rsidR="004810CA" w:rsidRDefault="004810CA">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医疗器械安全和性能基本原则清单</w:t>
      </w:r>
    </w:p>
    <w:p w:rsidR="004810CA" w:rsidRDefault="004810CA">
      <w:pPr>
        <w:spacing w:line="480" w:lineRule="exact"/>
        <w:ind w:firstLineChars="200" w:firstLine="720"/>
        <w:jc w:val="left"/>
        <w:rPr>
          <w:rFonts w:ascii="方正小标宋_GBK" w:eastAsia="方正小标宋_GBK"/>
          <w:color w:val="000000"/>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0"/>
        <w:gridCol w:w="4521"/>
        <w:gridCol w:w="767"/>
        <w:gridCol w:w="1313"/>
        <w:gridCol w:w="1617"/>
      </w:tblGrid>
      <w:tr w:rsidR="004810CA" w:rsidRPr="0040202B">
        <w:trPr>
          <w:trHeight w:val="501"/>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rPr>
                <w:rFonts w:ascii="Times New Roman" w:eastAsia="宋体" w:hAnsi="Times New Roman"/>
                <w:color w:val="000000"/>
                <w:kern w:val="2"/>
                <w:sz w:val="21"/>
              </w:rPr>
            </w:pPr>
            <w:r w:rsidRPr="0040202B">
              <w:rPr>
                <w:rFonts w:ascii="Times New Roman" w:eastAsia="宋体" w:hAnsi="Times New Roman"/>
                <w:color w:val="000000"/>
                <w:kern w:val="2"/>
                <w:sz w:val="21"/>
              </w:rPr>
              <w:t>条款号</w:t>
            </w:r>
          </w:p>
        </w:tc>
        <w:tc>
          <w:tcPr>
            <w:tcW w:w="4521"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jc w:val="center"/>
              <w:rPr>
                <w:rFonts w:ascii="Times New Roman" w:eastAsia="宋体" w:hAnsi="Times New Roman"/>
                <w:color w:val="000000"/>
                <w:kern w:val="2"/>
                <w:sz w:val="21"/>
              </w:rPr>
            </w:pPr>
            <w:r w:rsidRPr="0040202B">
              <w:rPr>
                <w:rFonts w:ascii="Times New Roman" w:eastAsia="宋体" w:hAnsi="Times New Roman"/>
                <w:color w:val="000000"/>
                <w:kern w:val="2"/>
                <w:sz w:val="21"/>
              </w:rPr>
              <w:t>要求</w:t>
            </w:r>
          </w:p>
        </w:tc>
        <w:tc>
          <w:tcPr>
            <w:tcW w:w="767"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e"/>
              <w:spacing w:line="300" w:lineRule="exact"/>
              <w:jc w:val="both"/>
              <w:rPr>
                <w:rFonts w:ascii="Times New Roman" w:eastAsia="宋体" w:hAnsi="Times New Roman"/>
                <w:color w:val="000000"/>
                <w:kern w:val="2"/>
                <w:sz w:val="21"/>
              </w:rPr>
            </w:pPr>
            <w:r w:rsidRPr="0040202B">
              <w:rPr>
                <w:rFonts w:ascii="Times New Roman" w:eastAsia="宋体" w:hAnsi="Times New Roman"/>
                <w:color w:val="000000"/>
                <w:kern w:val="2"/>
                <w:sz w:val="21"/>
              </w:rPr>
              <w:t>适用</w:t>
            </w:r>
          </w:p>
        </w:tc>
        <w:tc>
          <w:tcPr>
            <w:tcW w:w="1313"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e"/>
              <w:spacing w:line="300" w:lineRule="exact"/>
              <w:ind w:rightChars="12" w:right="25"/>
              <w:jc w:val="both"/>
              <w:rPr>
                <w:rFonts w:ascii="Times New Roman" w:eastAsia="宋体" w:hAnsi="Times New Roman"/>
                <w:color w:val="000000"/>
                <w:kern w:val="2"/>
                <w:sz w:val="21"/>
              </w:rPr>
            </w:pPr>
            <w:r w:rsidRPr="0040202B">
              <w:rPr>
                <w:rFonts w:ascii="Times New Roman" w:eastAsia="宋体" w:hAnsi="Times New Roman"/>
                <w:color w:val="000000"/>
                <w:kern w:val="2"/>
                <w:sz w:val="21"/>
              </w:rPr>
              <w:t>证明符合性采用的方法</w:t>
            </w:r>
          </w:p>
        </w:tc>
        <w:tc>
          <w:tcPr>
            <w:tcW w:w="1617"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e"/>
              <w:spacing w:line="300" w:lineRule="exact"/>
              <w:jc w:val="both"/>
              <w:rPr>
                <w:rFonts w:ascii="Times New Roman" w:eastAsia="宋体" w:hAnsi="Times New Roman"/>
                <w:color w:val="000000"/>
                <w:kern w:val="2"/>
                <w:sz w:val="21"/>
              </w:rPr>
            </w:pPr>
            <w:r w:rsidRPr="0040202B">
              <w:rPr>
                <w:rFonts w:ascii="Times New Roman" w:eastAsia="宋体" w:hAnsi="Times New Roman"/>
                <w:color w:val="000000"/>
                <w:kern w:val="2"/>
                <w:sz w:val="21"/>
              </w:rPr>
              <w:t>为符合性提供客观证据的文件</w:t>
            </w:r>
          </w:p>
        </w:tc>
      </w:tr>
      <w:tr w:rsidR="004810CA" w:rsidRPr="0040202B">
        <w:trPr>
          <w:trHeight w:val="287"/>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bCs/>
                <w:color w:val="000000"/>
                <w:kern w:val="0"/>
                <w:szCs w:val="18"/>
              </w:rPr>
              <w:t>A</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安全和性能的通用基本原则</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r w:rsidRPr="0040202B">
              <w:rPr>
                <w:rFonts w:ascii="Times New Roman" w:hAnsi="Times New Roman"/>
                <w:color w:val="000000"/>
                <w:kern w:val="2"/>
                <w:sz w:val="21"/>
                <w:szCs w:val="18"/>
              </w:rPr>
              <w:t>一般原则</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建立涵盖所有医疗器械风险管理计划并形成文件；</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识别并分析涵盖所有医疗器械的相关的已知和可预见的危险（源）；</w:t>
            </w:r>
          </w:p>
          <w:p w:rsidR="004810CA" w:rsidRPr="0040202B" w:rsidRDefault="004810CA" w:rsidP="0040202B">
            <w:pPr>
              <w:spacing w:line="30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估计和评价在预期使用和可合理预见的误使用过程中，发生的相关风险；</w:t>
            </w:r>
          </w:p>
          <w:p w:rsidR="004810CA" w:rsidRPr="0040202B" w:rsidRDefault="004810CA" w:rsidP="0040202B">
            <w:pPr>
              <w:spacing w:line="300" w:lineRule="exact"/>
              <w:jc w:val="left"/>
              <w:rPr>
                <w:color w:val="000000"/>
                <w:kern w:val="0"/>
                <w:szCs w:val="18"/>
              </w:rPr>
            </w:pPr>
            <w:r w:rsidRPr="0040202B">
              <w:rPr>
                <w:color w:val="000000"/>
                <w:kern w:val="0"/>
                <w:szCs w:val="18"/>
              </w:rPr>
              <w:t>d)</w:t>
            </w:r>
            <w:r w:rsidRPr="0040202B">
              <w:rPr>
                <w:color w:val="000000"/>
                <w:kern w:val="0"/>
                <w:szCs w:val="18"/>
              </w:rPr>
              <w:tab/>
            </w:r>
            <w:r w:rsidRPr="0040202B">
              <w:rPr>
                <w:color w:val="000000"/>
                <w:kern w:val="0"/>
                <w:szCs w:val="18"/>
              </w:rPr>
              <w:t>依据</w:t>
            </w:r>
            <w:r w:rsidRPr="0040202B">
              <w:rPr>
                <w:color w:val="000000"/>
                <w:kern w:val="0"/>
                <w:szCs w:val="18"/>
              </w:rPr>
              <w:t>A1.3</w:t>
            </w:r>
            <w:r w:rsidRPr="0040202B">
              <w:rPr>
                <w:color w:val="000000"/>
                <w:kern w:val="0"/>
                <w:szCs w:val="18"/>
              </w:rPr>
              <w:t>和</w:t>
            </w:r>
            <w:r w:rsidRPr="0040202B">
              <w:rPr>
                <w:color w:val="000000"/>
                <w:kern w:val="0"/>
                <w:szCs w:val="18"/>
              </w:rPr>
              <w:t>A1.4</w:t>
            </w:r>
            <w:r w:rsidRPr="0040202B">
              <w:rPr>
                <w:color w:val="000000"/>
                <w:kern w:val="0"/>
                <w:szCs w:val="18"/>
              </w:rPr>
              <w:t>相关要求，消除或控制</w:t>
            </w:r>
            <w:r w:rsidRPr="0040202B">
              <w:rPr>
                <w:color w:val="000000"/>
                <w:kern w:val="0"/>
                <w:szCs w:val="18"/>
              </w:rPr>
              <w:t>c</w:t>
            </w:r>
            <w:r w:rsidRPr="0040202B">
              <w:rPr>
                <w:color w:val="000000"/>
                <w:kern w:val="0"/>
                <w:szCs w:val="18"/>
              </w:rPr>
              <w:t>）点所述的风险；</w:t>
            </w:r>
          </w:p>
          <w:p w:rsidR="004810CA" w:rsidRPr="0040202B" w:rsidRDefault="004810CA" w:rsidP="0040202B">
            <w:pPr>
              <w:spacing w:line="300" w:lineRule="exact"/>
              <w:jc w:val="left"/>
              <w:rPr>
                <w:color w:val="000000"/>
                <w:kern w:val="0"/>
                <w:szCs w:val="18"/>
              </w:rPr>
            </w:pPr>
            <w:r w:rsidRPr="0040202B">
              <w:rPr>
                <w:color w:val="000000"/>
                <w:kern w:val="0"/>
                <w:szCs w:val="18"/>
              </w:rPr>
              <w:t>e)</w:t>
            </w:r>
            <w:r w:rsidRPr="0040202B">
              <w:rPr>
                <w:color w:val="000000"/>
                <w:kern w:val="0"/>
                <w:szCs w:val="18"/>
              </w:rPr>
              <w:tab/>
            </w:r>
            <w:r w:rsidRPr="0040202B">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40202B">
              <w:rPr>
                <w:color w:val="000000"/>
                <w:kern w:val="0"/>
                <w:szCs w:val="18"/>
              </w:rPr>
              <w:t>f)</w:t>
            </w:r>
            <w:r w:rsidRPr="0040202B">
              <w:rPr>
                <w:color w:val="000000"/>
                <w:kern w:val="0"/>
                <w:szCs w:val="18"/>
              </w:rPr>
              <w:tab/>
            </w:r>
            <w:r w:rsidRPr="0040202B">
              <w:rPr>
                <w:color w:val="000000"/>
                <w:kern w:val="0"/>
                <w:szCs w:val="18"/>
              </w:rPr>
              <w:t>基于对</w:t>
            </w:r>
            <w:r w:rsidRPr="0040202B">
              <w:rPr>
                <w:color w:val="000000"/>
                <w:kern w:val="0"/>
                <w:szCs w:val="18"/>
              </w:rPr>
              <w:t>e</w:t>
            </w:r>
            <w:r w:rsidRPr="0040202B">
              <w:rPr>
                <w:color w:val="000000"/>
                <w:kern w:val="0"/>
                <w:szCs w:val="18"/>
              </w:rPr>
              <w:t>）点所述信息影响的评价，必要时修改控制措施以符合</w:t>
            </w:r>
            <w:r w:rsidRPr="0040202B">
              <w:rPr>
                <w:color w:val="000000"/>
                <w:kern w:val="0"/>
                <w:szCs w:val="18"/>
              </w:rPr>
              <w:t>A1.3</w:t>
            </w:r>
            <w:r w:rsidRPr="0040202B">
              <w:rPr>
                <w:color w:val="000000"/>
                <w:kern w:val="0"/>
                <w:szCs w:val="18"/>
              </w:rPr>
              <w:t>和</w:t>
            </w:r>
            <w:r w:rsidRPr="0040202B">
              <w:rPr>
                <w:color w:val="000000"/>
                <w:kern w:val="0"/>
                <w:szCs w:val="18"/>
              </w:rPr>
              <w:t>A1.4</w:t>
            </w:r>
            <w:r w:rsidRPr="0040202B">
              <w:rPr>
                <w:color w:val="000000"/>
                <w:kern w:val="0"/>
                <w:szCs w:val="18"/>
              </w:rPr>
              <w:t>相关要求。</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w:t>
            </w:r>
            <w:r w:rsidRPr="0040202B">
              <w:rPr>
                <w:color w:val="000000"/>
                <w:kern w:val="0"/>
                <w:szCs w:val="18"/>
              </w:rPr>
              <w:lastRenderedPageBreak/>
              <w:t>请人应当按以下优先顺序进行：</w:t>
            </w:r>
          </w:p>
          <w:p w:rsidR="004810CA" w:rsidRPr="0040202B" w:rsidRDefault="004810CA" w:rsidP="0040202B">
            <w:pPr>
              <w:spacing w:line="29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通过安全设计和生产消除或适当降低风险；</w:t>
            </w:r>
          </w:p>
          <w:p w:rsidR="004810CA" w:rsidRPr="0040202B" w:rsidRDefault="004810CA" w:rsidP="0040202B">
            <w:pPr>
              <w:spacing w:line="29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适用时，对无法消除的风险采取充分的防护措施，包括必要的警报；</w:t>
            </w:r>
          </w:p>
          <w:p w:rsidR="004810CA" w:rsidRPr="0040202B" w:rsidRDefault="004810CA" w:rsidP="0040202B">
            <w:pPr>
              <w:spacing w:line="29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提供安全信息（警告</w:t>
            </w:r>
            <w:r w:rsidRPr="0040202B">
              <w:rPr>
                <w:color w:val="000000"/>
                <w:kern w:val="0"/>
                <w:szCs w:val="18"/>
              </w:rPr>
              <w:t>/</w:t>
            </w:r>
            <w:r w:rsidRPr="0040202B">
              <w:rPr>
                <w:color w:val="000000"/>
                <w:kern w:val="0"/>
                <w:szCs w:val="18"/>
              </w:rPr>
              <w:t>预防措施</w:t>
            </w:r>
            <w:r w:rsidRPr="0040202B">
              <w:rPr>
                <w:color w:val="000000"/>
                <w:kern w:val="0"/>
                <w:szCs w:val="18"/>
              </w:rPr>
              <w:t>/</w:t>
            </w:r>
            <w:r w:rsidRPr="0040202B">
              <w:rPr>
                <w:color w:val="000000"/>
                <w:kern w:val="0"/>
                <w:szCs w:val="18"/>
              </w:rPr>
              <w:t>禁忌证），适当时，向使用者提供培训。</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A1.4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申请人应当告知使用者所有相关的剩余风险。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103"/>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在消除或降低与使用有关的风险时，申请人应该：</w:t>
            </w:r>
          </w:p>
          <w:p w:rsidR="004810CA" w:rsidRPr="0040202B" w:rsidRDefault="004810CA" w:rsidP="0040202B">
            <w:pPr>
              <w:spacing w:line="29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适当降低医疗器械的特性（如人体工程学</w:t>
            </w:r>
            <w:r w:rsidRPr="0040202B">
              <w:rPr>
                <w:color w:val="000000"/>
                <w:kern w:val="0"/>
                <w:szCs w:val="18"/>
              </w:rPr>
              <w:t>/</w:t>
            </w:r>
            <w:r w:rsidRPr="0040202B">
              <w:rPr>
                <w:color w:val="000000"/>
                <w:kern w:val="0"/>
                <w:szCs w:val="18"/>
              </w:rPr>
              <w:t>可用性）和预期使用环境（如灰尘和湿度）可能带来的风险；</w:t>
            </w:r>
          </w:p>
          <w:p w:rsidR="004810CA" w:rsidRPr="0040202B" w:rsidRDefault="004810CA" w:rsidP="0040202B">
            <w:pPr>
              <w:spacing w:line="29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考虑预期使用者的技术知识、经验、教育背景、培训、身体状况（如适用）以及使用环境。</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A1.6</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A1.7</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80" w:lineRule="exact"/>
              <w:jc w:val="left"/>
              <w:rPr>
                <w:color w:val="000000"/>
                <w:kern w:val="0"/>
                <w:szCs w:val="18"/>
              </w:rPr>
            </w:pPr>
            <w:r w:rsidRPr="0040202B">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211"/>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A1.8</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80" w:lineRule="exact"/>
              <w:jc w:val="left"/>
              <w:rPr>
                <w:color w:val="000000"/>
                <w:kern w:val="0"/>
                <w:szCs w:val="18"/>
              </w:rPr>
            </w:pPr>
            <w:r w:rsidRPr="0040202B">
              <w:rPr>
                <w:color w:val="000000"/>
                <w:kern w:val="0"/>
                <w:szCs w:val="18"/>
              </w:rPr>
              <w:t>在货架有效期内、开封后的使用期间，以及运输或送货期间，医疗器械应具有可接受的稳定性。</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A1.9</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80" w:lineRule="exact"/>
              <w:jc w:val="left"/>
              <w:rPr>
                <w:color w:val="000000"/>
                <w:kern w:val="0"/>
                <w:szCs w:val="18"/>
              </w:rPr>
            </w:pPr>
            <w:r w:rsidRPr="0040202B">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70"/>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jc w:val="center"/>
              <w:rPr>
                <w:rFonts w:ascii="Times New Roman" w:eastAsia="宋体" w:hAnsi="Times New Roman"/>
                <w:color w:val="000000"/>
                <w:kern w:val="2"/>
                <w:sz w:val="21"/>
              </w:rPr>
            </w:pPr>
            <w:r w:rsidRPr="0040202B">
              <w:rPr>
                <w:rFonts w:ascii="Times New Roman" w:eastAsia="宋体" w:hAnsi="Times New Roman"/>
                <w:color w:val="000000"/>
                <w:kern w:val="2"/>
                <w:sz w:val="21"/>
              </w:rPr>
              <w:t>A2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280" w:lineRule="exact"/>
              <w:jc w:val="left"/>
              <w:rPr>
                <w:color w:val="000000"/>
                <w:kern w:val="0"/>
                <w:szCs w:val="18"/>
              </w:rPr>
            </w:pPr>
            <w:r w:rsidRPr="0040202B">
              <w:rPr>
                <w:color w:val="000000"/>
                <w:kern w:val="0"/>
                <w:szCs w:val="18"/>
              </w:rPr>
              <w:t>临床评价</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A2.1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c"/>
              <w:spacing w:line="280" w:lineRule="exact"/>
              <w:ind w:firstLineChars="0" w:firstLine="0"/>
              <w:jc w:val="left"/>
              <w:rPr>
                <w:rFonts w:ascii="Times New Roman" w:hAnsi="Times New Roman"/>
                <w:color w:val="000000"/>
              </w:rPr>
            </w:pPr>
            <w:r w:rsidRPr="0040202B">
              <w:rPr>
                <w:rFonts w:ascii="Times New Roman" w:hAnsi="Times New Roman"/>
                <w:color w:val="000000"/>
              </w:rPr>
              <w:t>基于监管要求，医疗器械可能需要进行临床评价（如适用）。所谓临床评价，就是对临床数据进行评估，确定医疗器械具有可接受的风险受益比，包括以下几种形式：</w:t>
            </w:r>
          </w:p>
          <w:p w:rsidR="004810CA" w:rsidRPr="0040202B" w:rsidRDefault="004810CA" w:rsidP="0040202B">
            <w:pPr>
              <w:pStyle w:val="ac"/>
              <w:spacing w:line="280" w:lineRule="exact"/>
              <w:ind w:firstLineChars="0" w:firstLine="0"/>
              <w:jc w:val="left"/>
              <w:rPr>
                <w:rFonts w:ascii="Times New Roman" w:hAnsi="Times New Roman"/>
                <w:color w:val="000000"/>
              </w:rPr>
            </w:pPr>
            <w:r w:rsidRPr="0040202B">
              <w:rPr>
                <w:rFonts w:ascii="Times New Roman" w:hAnsi="Times New Roman"/>
                <w:color w:val="000000"/>
              </w:rPr>
              <w:t>a)</w:t>
            </w:r>
            <w:r w:rsidRPr="0040202B">
              <w:rPr>
                <w:rFonts w:ascii="Times New Roman" w:hAnsi="Times New Roman"/>
                <w:color w:val="000000"/>
              </w:rPr>
              <w:tab/>
            </w:r>
            <w:r w:rsidRPr="0040202B">
              <w:rPr>
                <w:rFonts w:ascii="Times New Roman" w:hAnsi="Times New Roman"/>
                <w:color w:val="000000"/>
              </w:rPr>
              <w:t>临床试验报告</w:t>
            </w:r>
          </w:p>
          <w:p w:rsidR="004810CA" w:rsidRPr="0040202B" w:rsidRDefault="004810CA" w:rsidP="0040202B">
            <w:pPr>
              <w:spacing w:line="280" w:lineRule="exact"/>
              <w:jc w:val="left"/>
              <w:rPr>
                <w:color w:val="000000"/>
              </w:rPr>
            </w:pPr>
            <w:r w:rsidRPr="0040202B">
              <w:rPr>
                <w:color w:val="000000"/>
              </w:rPr>
              <w:t>b)</w:t>
            </w:r>
            <w:r w:rsidRPr="0040202B">
              <w:rPr>
                <w:color w:val="000000"/>
              </w:rPr>
              <w:tab/>
            </w:r>
            <w:r w:rsidRPr="0040202B">
              <w:rPr>
                <w:color w:val="000000"/>
              </w:rPr>
              <w:t>临床文献资料</w:t>
            </w:r>
          </w:p>
          <w:p w:rsidR="004810CA" w:rsidRPr="0040202B" w:rsidRDefault="004810CA" w:rsidP="0040202B">
            <w:pPr>
              <w:pStyle w:val="ac"/>
              <w:spacing w:line="280" w:lineRule="exact"/>
              <w:ind w:firstLineChars="0" w:firstLine="0"/>
              <w:jc w:val="left"/>
              <w:rPr>
                <w:rFonts w:ascii="Times New Roman" w:hAnsi="Times New Roman"/>
                <w:color w:val="000000"/>
              </w:rPr>
            </w:pPr>
            <w:r w:rsidRPr="0040202B">
              <w:rPr>
                <w:rFonts w:ascii="Times New Roman" w:hAnsi="Times New Roman"/>
                <w:color w:val="000000"/>
              </w:rPr>
              <w:t>c)</w:t>
            </w:r>
            <w:r w:rsidRPr="0040202B">
              <w:rPr>
                <w:rFonts w:ascii="Times New Roman" w:hAnsi="Times New Roman"/>
                <w:color w:val="000000"/>
              </w:rPr>
              <w:tab/>
            </w:r>
            <w:r w:rsidRPr="0040202B">
              <w:rPr>
                <w:rFonts w:ascii="Times New Roman" w:hAnsi="Times New Roman"/>
                <w:color w:val="000000"/>
              </w:rPr>
              <w:t>临床经验数据</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A2.2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80" w:lineRule="exact"/>
              <w:jc w:val="left"/>
              <w:rPr>
                <w:color w:val="000000"/>
                <w:spacing w:val="-4"/>
                <w:kern w:val="0"/>
                <w:szCs w:val="18"/>
              </w:rPr>
            </w:pPr>
            <w:r w:rsidRPr="0040202B">
              <w:rPr>
                <w:color w:val="000000"/>
                <w:spacing w:val="-4"/>
                <w:kern w:val="0"/>
                <w:szCs w:val="1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A3</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r w:rsidRPr="0040202B">
              <w:rPr>
                <w:rFonts w:ascii="Times New Roman" w:hAnsi="Times New Roman"/>
                <w:color w:val="000000"/>
                <w:kern w:val="2"/>
                <w:sz w:val="21"/>
                <w:szCs w:val="18"/>
              </w:rPr>
              <w:t>化学、物理和生物学特性</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A3.1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关于医疗器械的化学、物理和生物学特性，应当特别注意以下几点：</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所用材料和组成成分的选择，需特别考虑：</w:t>
            </w:r>
          </w:p>
          <w:p w:rsidR="004810CA" w:rsidRPr="0040202B" w:rsidRDefault="004810CA" w:rsidP="0040202B">
            <w:pPr>
              <w:spacing w:line="300" w:lineRule="exact"/>
              <w:jc w:val="left"/>
              <w:rPr>
                <w:color w:val="000000"/>
                <w:kern w:val="0"/>
                <w:szCs w:val="18"/>
              </w:rPr>
            </w:pPr>
            <w:r w:rsidRPr="0040202B">
              <w:rPr>
                <w:color w:val="000000"/>
                <w:kern w:val="0"/>
                <w:szCs w:val="18"/>
              </w:rPr>
              <w:t>-</w:t>
            </w:r>
            <w:r w:rsidRPr="0040202B">
              <w:rPr>
                <w:color w:val="000000"/>
                <w:kern w:val="0"/>
                <w:szCs w:val="18"/>
              </w:rPr>
              <w:t>毒性；</w:t>
            </w:r>
          </w:p>
          <w:p w:rsidR="004810CA" w:rsidRPr="0040202B" w:rsidRDefault="004810CA" w:rsidP="0040202B">
            <w:pPr>
              <w:spacing w:line="300" w:lineRule="exact"/>
              <w:jc w:val="left"/>
              <w:rPr>
                <w:color w:val="000000"/>
                <w:kern w:val="0"/>
                <w:szCs w:val="18"/>
              </w:rPr>
            </w:pPr>
            <w:r w:rsidRPr="0040202B">
              <w:rPr>
                <w:color w:val="000000"/>
                <w:kern w:val="0"/>
                <w:szCs w:val="18"/>
              </w:rPr>
              <w:t>-</w:t>
            </w:r>
            <w:r w:rsidRPr="0040202B">
              <w:rPr>
                <w:color w:val="000000"/>
                <w:kern w:val="0"/>
                <w:szCs w:val="18"/>
              </w:rPr>
              <w:t>生物相容性；</w:t>
            </w:r>
          </w:p>
          <w:p w:rsidR="004810CA" w:rsidRPr="0040202B" w:rsidRDefault="004810CA" w:rsidP="0040202B">
            <w:pPr>
              <w:spacing w:line="300" w:lineRule="exact"/>
              <w:jc w:val="left"/>
              <w:rPr>
                <w:color w:val="000000"/>
                <w:kern w:val="0"/>
                <w:szCs w:val="18"/>
              </w:rPr>
            </w:pPr>
            <w:r w:rsidRPr="0040202B">
              <w:rPr>
                <w:color w:val="000000"/>
                <w:kern w:val="0"/>
                <w:szCs w:val="18"/>
              </w:rPr>
              <w:t>-</w:t>
            </w:r>
            <w:r w:rsidRPr="0040202B">
              <w:rPr>
                <w:color w:val="000000"/>
                <w:kern w:val="0"/>
                <w:szCs w:val="18"/>
              </w:rPr>
              <w:t>易燃性；</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工艺对材料性能的影响；</w:t>
            </w:r>
          </w:p>
          <w:p w:rsidR="004810CA" w:rsidRPr="0040202B" w:rsidRDefault="004810CA" w:rsidP="0040202B">
            <w:pPr>
              <w:spacing w:line="30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生物物理学或者建模研究结果应当事先进行验证（如适用）；</w:t>
            </w:r>
          </w:p>
          <w:p w:rsidR="004810CA" w:rsidRPr="0040202B" w:rsidRDefault="004810CA" w:rsidP="0040202B">
            <w:pPr>
              <w:spacing w:line="300" w:lineRule="exact"/>
              <w:jc w:val="left"/>
              <w:rPr>
                <w:color w:val="000000"/>
                <w:kern w:val="0"/>
                <w:szCs w:val="18"/>
              </w:rPr>
            </w:pPr>
            <w:r w:rsidRPr="0040202B">
              <w:rPr>
                <w:color w:val="000000"/>
                <w:kern w:val="0"/>
                <w:szCs w:val="18"/>
              </w:rPr>
              <w:t>d)</w:t>
            </w:r>
            <w:r w:rsidRPr="0040202B">
              <w:rPr>
                <w:color w:val="000000"/>
                <w:kern w:val="0"/>
                <w:szCs w:val="18"/>
              </w:rPr>
              <w:tab/>
            </w:r>
            <w:r w:rsidRPr="0040202B">
              <w:rPr>
                <w:color w:val="000000"/>
                <w:kern w:val="0"/>
                <w:szCs w:val="18"/>
              </w:rPr>
              <w:t>所用材料的机械性能，如适用，应当考虑强度、延展性、断裂强度、耐磨性和抗疲劳性等属性；</w:t>
            </w:r>
          </w:p>
          <w:p w:rsidR="004810CA" w:rsidRPr="0040202B" w:rsidRDefault="004810CA" w:rsidP="0040202B">
            <w:pPr>
              <w:spacing w:line="300" w:lineRule="exact"/>
              <w:jc w:val="left"/>
              <w:rPr>
                <w:color w:val="000000"/>
                <w:kern w:val="0"/>
                <w:szCs w:val="18"/>
              </w:rPr>
            </w:pPr>
            <w:r w:rsidRPr="0040202B">
              <w:rPr>
                <w:color w:val="000000"/>
                <w:kern w:val="0"/>
                <w:szCs w:val="18"/>
              </w:rPr>
              <w:t>e)</w:t>
            </w:r>
            <w:r w:rsidRPr="0040202B">
              <w:rPr>
                <w:color w:val="000000"/>
                <w:kern w:val="0"/>
                <w:szCs w:val="18"/>
              </w:rPr>
              <w:tab/>
            </w:r>
            <w:r w:rsidRPr="0040202B">
              <w:rPr>
                <w:color w:val="000000"/>
                <w:kern w:val="0"/>
                <w:szCs w:val="18"/>
              </w:rPr>
              <w:t>表面特性；</w:t>
            </w:r>
          </w:p>
          <w:p w:rsidR="004810CA" w:rsidRPr="0040202B" w:rsidRDefault="004810CA" w:rsidP="0040202B">
            <w:pPr>
              <w:spacing w:line="300" w:lineRule="exact"/>
              <w:jc w:val="left"/>
              <w:rPr>
                <w:color w:val="000000"/>
                <w:kern w:val="0"/>
                <w:szCs w:val="18"/>
              </w:rPr>
            </w:pPr>
            <w:r w:rsidRPr="0040202B">
              <w:rPr>
                <w:color w:val="000000"/>
                <w:kern w:val="0"/>
                <w:szCs w:val="18"/>
              </w:rPr>
              <w:t>f)</w:t>
            </w:r>
            <w:r w:rsidRPr="0040202B">
              <w:rPr>
                <w:color w:val="000000"/>
                <w:kern w:val="0"/>
                <w:szCs w:val="18"/>
              </w:rPr>
              <w:tab/>
            </w:r>
            <w:r w:rsidRPr="0040202B">
              <w:rPr>
                <w:color w:val="000000"/>
                <w:kern w:val="0"/>
                <w:szCs w:val="18"/>
              </w:rPr>
              <w:t>器械与已规定化学和</w:t>
            </w:r>
            <w:r w:rsidRPr="0040202B">
              <w:rPr>
                <w:color w:val="000000"/>
                <w:kern w:val="0"/>
                <w:szCs w:val="18"/>
              </w:rPr>
              <w:t>/</w:t>
            </w:r>
            <w:r w:rsidRPr="0040202B">
              <w:rPr>
                <w:color w:val="000000"/>
                <w:kern w:val="0"/>
                <w:szCs w:val="18"/>
              </w:rPr>
              <w:t>或物理性能的符合性。</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A3.2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A3.3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医疗器械的设计和生产应当适当降低析出物（包括滤沥物和</w:t>
            </w:r>
            <w:r w:rsidRPr="0040202B">
              <w:rPr>
                <w:color w:val="000000"/>
                <w:kern w:val="0"/>
                <w:szCs w:val="18"/>
              </w:rPr>
              <w:t>/</w:t>
            </w:r>
            <w:r w:rsidRPr="0040202B">
              <w:rPr>
                <w:color w:val="000000"/>
                <w:kern w:val="0"/>
                <w:szCs w:val="18"/>
              </w:rPr>
              <w:t>或蒸发物）、降解产物、加工残留物等造成的风险。应当特别注意致癌、致突变或有生殖毒性的泄漏物或滤沥物。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A3.4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医疗器械的设计和生产应当考虑到医疗器械及其预期使用环境的性质，适当降低物质意外进入器械所带来的风险。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A3.5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医疗器械及其生产工艺的设计应当能消除或适当降低对使用者和其他可能接触者的感染风险。设计应当：</w:t>
            </w:r>
          </w:p>
          <w:p w:rsidR="004810CA" w:rsidRPr="0040202B" w:rsidRDefault="004810CA" w:rsidP="0040202B">
            <w:pPr>
              <w:spacing w:line="29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操作安全，易于处理；</w:t>
            </w:r>
          </w:p>
          <w:p w:rsidR="004810CA" w:rsidRPr="0040202B" w:rsidRDefault="004810CA" w:rsidP="0040202B">
            <w:pPr>
              <w:spacing w:line="29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尽量减少医疗器械的微生物泄漏和</w:t>
            </w:r>
            <w:r w:rsidRPr="0040202B">
              <w:rPr>
                <w:color w:val="000000"/>
                <w:kern w:val="0"/>
                <w:szCs w:val="18"/>
              </w:rPr>
              <w:t>/</w:t>
            </w:r>
            <w:r w:rsidRPr="0040202B">
              <w:rPr>
                <w:color w:val="000000"/>
                <w:kern w:val="0"/>
                <w:szCs w:val="18"/>
              </w:rPr>
              <w:t>或使用过程中的感染风险；</w:t>
            </w:r>
          </w:p>
          <w:p w:rsidR="004810CA" w:rsidRPr="0040202B" w:rsidRDefault="004810CA" w:rsidP="0040202B">
            <w:pPr>
              <w:spacing w:line="29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防止医疗器械或其内容物（例如：标本）的微生物污染；</w:t>
            </w:r>
          </w:p>
          <w:p w:rsidR="004810CA" w:rsidRPr="0040202B" w:rsidRDefault="004810CA" w:rsidP="0040202B">
            <w:pPr>
              <w:spacing w:line="290" w:lineRule="exact"/>
              <w:jc w:val="left"/>
              <w:rPr>
                <w:color w:val="000000"/>
                <w:kern w:val="0"/>
                <w:szCs w:val="18"/>
              </w:rPr>
            </w:pPr>
            <w:r w:rsidRPr="0040202B">
              <w:rPr>
                <w:color w:val="000000"/>
                <w:kern w:val="0"/>
                <w:szCs w:val="18"/>
              </w:rPr>
              <w:t>d)</w:t>
            </w:r>
            <w:r w:rsidRPr="0040202B">
              <w:rPr>
                <w:color w:val="000000"/>
                <w:kern w:val="0"/>
                <w:szCs w:val="18"/>
              </w:rPr>
              <w:tab/>
            </w:r>
            <w:r w:rsidRPr="0040202B">
              <w:rPr>
                <w:color w:val="000000"/>
                <w:kern w:val="0"/>
                <w:szCs w:val="18"/>
              </w:rPr>
              <w:t>尽量减少意外风险（例如：割伤和刺伤（如针刺伤）、意外物质溅入眼睛等）。</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A4</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灭菌和微生物污染</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医疗器械其设计应当方便使用者对其进行安全清洁、消毒、灭菌和</w:t>
            </w:r>
            <w:r w:rsidRPr="0040202B">
              <w:rPr>
                <w:color w:val="000000"/>
                <w:kern w:val="0"/>
                <w:szCs w:val="18"/>
              </w:rPr>
              <w:t>/</w:t>
            </w:r>
            <w:r w:rsidRPr="0040202B">
              <w:rPr>
                <w:color w:val="000000"/>
                <w:kern w:val="0"/>
                <w:szCs w:val="18"/>
              </w:rPr>
              <w:t>或重复灭菌（必要时）。</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A4.3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无菌医疗器械应按照经验证的方法进行加工、生产、包装和灭菌，其货架有效期应按照经验证的方法确定。</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预期无菌使用的医疗器械（申请人灭菌或使用者灭菌），均应在适当且受控的条件和设施下生产和包装。</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A4.6</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以非无菌状态交付，且使用前灭菌的医疗器械：</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包装应尽量减少产品受到微生物污染的风险，且应适用于申请人规定的灭菌方法；</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申请人规定的灭菌方法应当经过验证。</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A4.7</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若医疗器械可以无菌和非无菌状态交付使用，应明确标识其交付状态。</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jc w:val="center"/>
              <w:rPr>
                <w:rFonts w:ascii="Times New Roman" w:eastAsia="宋体" w:hAnsi="Times New Roman"/>
                <w:color w:val="000000"/>
                <w:kern w:val="2"/>
                <w:sz w:val="21"/>
              </w:rPr>
            </w:pPr>
            <w:r w:rsidRPr="0040202B">
              <w:rPr>
                <w:rFonts w:ascii="Times New Roman" w:eastAsia="宋体" w:hAnsi="Times New Roman"/>
                <w:color w:val="000000"/>
                <w:kern w:val="2"/>
                <w:sz w:val="21"/>
              </w:rPr>
              <w:t>A5</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环境和使用条件</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如医疗器械预期与其他医疗器械或设备整合使用，应确保整合使用后的系统，包括连接系统，整体的安全性，且不影响器械本身的性能。整合使用上的限制应明确标识和</w:t>
            </w:r>
            <w:r w:rsidRPr="0040202B">
              <w:rPr>
                <w:color w:val="000000"/>
                <w:kern w:val="0"/>
                <w:szCs w:val="18"/>
              </w:rPr>
              <w:t>/</w:t>
            </w:r>
            <w:r w:rsidRPr="0040202B">
              <w:rPr>
                <w:color w:val="000000"/>
                <w:kern w:val="0"/>
                <w:szCs w:val="18"/>
              </w:rPr>
              <w:t>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医疗器械的设计和生产应当考虑预期的使用环境和使用条件，以消除或降低下列风险：</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与物理和人体工程学</w:t>
            </w:r>
            <w:r w:rsidRPr="0040202B">
              <w:rPr>
                <w:color w:val="000000"/>
                <w:kern w:val="0"/>
                <w:szCs w:val="18"/>
              </w:rPr>
              <w:t>/</w:t>
            </w:r>
            <w:r w:rsidRPr="0040202B">
              <w:rPr>
                <w:color w:val="000000"/>
                <w:kern w:val="0"/>
                <w:szCs w:val="18"/>
              </w:rPr>
              <w:t>可用性的特性有关，对使用者或他人造成损伤的风险；</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由于用户界面设计、人体工程学</w:t>
            </w:r>
            <w:r w:rsidRPr="0040202B">
              <w:rPr>
                <w:color w:val="000000"/>
                <w:kern w:val="0"/>
                <w:szCs w:val="18"/>
              </w:rPr>
              <w:t>/</w:t>
            </w:r>
            <w:r w:rsidRPr="0040202B">
              <w:rPr>
                <w:color w:val="000000"/>
                <w:kern w:val="0"/>
                <w:szCs w:val="18"/>
              </w:rPr>
              <w:t>可用性的特性以及预期使用环境导致的错误操作的风险；</w:t>
            </w:r>
          </w:p>
          <w:p w:rsidR="004810CA" w:rsidRPr="0040202B" w:rsidRDefault="004810CA" w:rsidP="0040202B">
            <w:pPr>
              <w:spacing w:line="30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与合理可预期的外部因素或环境条件有关的风险，如磁场、外部电磁效应、静电释放、诊断和治疗带来的辐射、压力、湿度、温度和</w:t>
            </w:r>
            <w:r w:rsidRPr="0040202B">
              <w:rPr>
                <w:color w:val="000000"/>
                <w:kern w:val="0"/>
                <w:szCs w:val="18"/>
              </w:rPr>
              <w:t>/</w:t>
            </w:r>
            <w:r w:rsidRPr="0040202B">
              <w:rPr>
                <w:color w:val="000000"/>
                <w:kern w:val="0"/>
                <w:szCs w:val="18"/>
              </w:rPr>
              <w:t>或压力和加速度的变化；</w:t>
            </w:r>
          </w:p>
          <w:p w:rsidR="004810CA" w:rsidRPr="0040202B" w:rsidRDefault="004810CA" w:rsidP="0040202B">
            <w:pPr>
              <w:spacing w:line="300" w:lineRule="exact"/>
              <w:jc w:val="left"/>
              <w:rPr>
                <w:color w:val="000000"/>
                <w:kern w:val="0"/>
                <w:szCs w:val="18"/>
              </w:rPr>
            </w:pPr>
            <w:r w:rsidRPr="0040202B">
              <w:rPr>
                <w:color w:val="000000"/>
                <w:kern w:val="0"/>
                <w:szCs w:val="18"/>
              </w:rPr>
              <w:t>d)</w:t>
            </w:r>
            <w:r w:rsidRPr="0040202B">
              <w:rPr>
                <w:color w:val="000000"/>
                <w:kern w:val="0"/>
                <w:szCs w:val="18"/>
              </w:rPr>
              <w:tab/>
            </w:r>
            <w:r w:rsidRPr="0040202B">
              <w:rPr>
                <w:color w:val="000000"/>
                <w:kern w:val="0"/>
                <w:szCs w:val="18"/>
              </w:rPr>
              <w:t>正常使用条件下与固体材料、液体和其他物质，包括气体，接触而产生的风险；</w:t>
            </w:r>
          </w:p>
          <w:p w:rsidR="004810CA" w:rsidRPr="0040202B" w:rsidRDefault="004810CA" w:rsidP="0040202B">
            <w:pPr>
              <w:spacing w:line="300" w:lineRule="exact"/>
              <w:jc w:val="left"/>
              <w:rPr>
                <w:color w:val="000000"/>
                <w:kern w:val="0"/>
                <w:szCs w:val="18"/>
              </w:rPr>
            </w:pPr>
            <w:r w:rsidRPr="0040202B">
              <w:rPr>
                <w:color w:val="000000"/>
                <w:kern w:val="0"/>
                <w:szCs w:val="18"/>
              </w:rPr>
              <w:t>e)</w:t>
            </w:r>
            <w:r w:rsidRPr="0040202B">
              <w:rPr>
                <w:color w:val="000000"/>
                <w:kern w:val="0"/>
                <w:szCs w:val="18"/>
              </w:rPr>
              <w:tab/>
            </w:r>
            <w:r w:rsidRPr="0040202B">
              <w:rPr>
                <w:color w:val="000000"/>
                <w:kern w:val="0"/>
                <w:szCs w:val="18"/>
              </w:rPr>
              <w:t>软件与信息技术（</w:t>
            </w:r>
            <w:r w:rsidRPr="0040202B">
              <w:rPr>
                <w:color w:val="000000"/>
                <w:kern w:val="0"/>
                <w:szCs w:val="18"/>
              </w:rPr>
              <w:t>IT</w:t>
            </w:r>
            <w:r w:rsidRPr="0040202B">
              <w:rPr>
                <w:color w:val="000000"/>
                <w:kern w:val="0"/>
                <w:szCs w:val="18"/>
              </w:rPr>
              <w:t>）运行环境的兼容性造成的风险；</w:t>
            </w:r>
          </w:p>
          <w:p w:rsidR="004810CA" w:rsidRPr="0040202B" w:rsidRDefault="004810CA" w:rsidP="0040202B">
            <w:pPr>
              <w:spacing w:line="300" w:lineRule="exact"/>
              <w:jc w:val="left"/>
              <w:rPr>
                <w:color w:val="000000"/>
                <w:kern w:val="0"/>
                <w:szCs w:val="18"/>
              </w:rPr>
            </w:pPr>
            <w:r w:rsidRPr="0040202B">
              <w:rPr>
                <w:color w:val="000000"/>
                <w:kern w:val="0"/>
                <w:szCs w:val="18"/>
              </w:rPr>
              <w:t>f)</w:t>
            </w:r>
            <w:r w:rsidRPr="0040202B">
              <w:rPr>
                <w:color w:val="000000"/>
                <w:kern w:val="0"/>
                <w:szCs w:val="18"/>
              </w:rPr>
              <w:tab/>
            </w:r>
            <w:r w:rsidRPr="0040202B">
              <w:rPr>
                <w:color w:val="000000"/>
                <w:kern w:val="0"/>
                <w:szCs w:val="18"/>
              </w:rPr>
              <w:t>正常使用过程中，医疗器械非预期析出物导致的环境风险；</w:t>
            </w:r>
          </w:p>
          <w:p w:rsidR="004810CA" w:rsidRPr="0040202B" w:rsidRDefault="004810CA" w:rsidP="0040202B">
            <w:pPr>
              <w:spacing w:line="300" w:lineRule="exact"/>
              <w:jc w:val="left"/>
              <w:rPr>
                <w:color w:val="000000"/>
                <w:kern w:val="0"/>
                <w:szCs w:val="18"/>
              </w:rPr>
            </w:pPr>
            <w:r w:rsidRPr="0040202B">
              <w:rPr>
                <w:color w:val="000000"/>
                <w:kern w:val="0"/>
                <w:szCs w:val="18"/>
              </w:rPr>
              <w:lastRenderedPageBreak/>
              <w:t>g)</w:t>
            </w:r>
            <w:r w:rsidRPr="0040202B">
              <w:rPr>
                <w:color w:val="000000"/>
                <w:kern w:val="0"/>
                <w:szCs w:val="18"/>
              </w:rPr>
              <w:tab/>
            </w:r>
            <w:r w:rsidRPr="0040202B">
              <w:rPr>
                <w:color w:val="000000"/>
                <w:kern w:val="0"/>
                <w:szCs w:val="18"/>
              </w:rPr>
              <w:t>样本</w:t>
            </w:r>
            <w:r w:rsidRPr="0040202B">
              <w:rPr>
                <w:color w:val="000000"/>
                <w:kern w:val="0"/>
                <w:szCs w:val="18"/>
              </w:rPr>
              <w:t>/</w:t>
            </w:r>
            <w:r w:rsidRPr="0040202B">
              <w:rPr>
                <w:color w:val="000000"/>
                <w:kern w:val="0"/>
                <w:szCs w:val="18"/>
              </w:rPr>
              <w:t>样品</w:t>
            </w:r>
            <w:r w:rsidRPr="0040202B">
              <w:rPr>
                <w:color w:val="000000"/>
                <w:kern w:val="0"/>
                <w:szCs w:val="18"/>
              </w:rPr>
              <w:t>/</w:t>
            </w:r>
            <w:r w:rsidRPr="0040202B">
              <w:rPr>
                <w:color w:val="000000"/>
                <w:kern w:val="0"/>
                <w:szCs w:val="18"/>
              </w:rPr>
              <w:t>数据不正确识别和错误结果导致的风险，比如用于分析、测试或检测的样本容器、可拆卸部件和</w:t>
            </w:r>
            <w:r w:rsidRPr="0040202B">
              <w:rPr>
                <w:color w:val="000000"/>
                <w:kern w:val="0"/>
                <w:szCs w:val="18"/>
              </w:rPr>
              <w:t>/</w:t>
            </w:r>
            <w:r w:rsidRPr="0040202B">
              <w:rPr>
                <w:color w:val="000000"/>
                <w:kern w:val="0"/>
                <w:szCs w:val="18"/>
              </w:rPr>
              <w:t>或附件，其颜色和</w:t>
            </w:r>
            <w:r w:rsidRPr="0040202B">
              <w:rPr>
                <w:color w:val="000000"/>
                <w:kern w:val="0"/>
                <w:szCs w:val="18"/>
              </w:rPr>
              <w:t>/</w:t>
            </w:r>
            <w:r w:rsidRPr="0040202B">
              <w:rPr>
                <w:color w:val="000000"/>
                <w:kern w:val="0"/>
                <w:szCs w:val="18"/>
              </w:rPr>
              <w:t>或数字编码混淆；</w:t>
            </w:r>
          </w:p>
          <w:p w:rsidR="004810CA" w:rsidRPr="0040202B" w:rsidRDefault="004810CA" w:rsidP="0040202B">
            <w:pPr>
              <w:spacing w:line="300" w:lineRule="exact"/>
              <w:jc w:val="left"/>
              <w:rPr>
                <w:color w:val="000000"/>
                <w:kern w:val="0"/>
                <w:szCs w:val="18"/>
              </w:rPr>
            </w:pPr>
            <w:r w:rsidRPr="0040202B">
              <w:rPr>
                <w:color w:val="000000"/>
                <w:kern w:val="0"/>
                <w:szCs w:val="18"/>
              </w:rPr>
              <w:t>h)</w:t>
            </w:r>
            <w:r w:rsidRPr="0040202B">
              <w:rPr>
                <w:color w:val="000000"/>
                <w:kern w:val="0"/>
                <w:szCs w:val="18"/>
              </w:rPr>
              <w:tab/>
            </w:r>
            <w:r w:rsidRPr="0040202B">
              <w:rPr>
                <w:color w:val="000000"/>
                <w:kern w:val="0"/>
                <w:szCs w:val="18"/>
              </w:rPr>
              <w:t>与其他用于诊断、监测或治疗的医疗器械互相干扰导致的风险。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A5.3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医疗器械的设计和生产应当消除或降低在正常状态及单一故障状态下燃烧和爆炸的风险，尤其是预期用途包括暴露于易燃、易爆物质或其他可致燃物相关的器械联用。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医疗器械的设计和生产应能确保调整、校准和维护过程能够安全有效的完成。</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对无法进行维护的医疗器械，如植入物，应尽量降低材料老化等风险；</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对无法进行调整和校准的医疗器械，如某些类型的温度计，应尽量降低测量或控制机制精度的损失风险。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与其他医疗器械或产品联合使用的医疗器械，其设计和生产应能保证互操作性和兼容性可靠且安全。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A5.6</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医疗器械的设计和生产应能降低未经授权的访问风险，这种访问可能会妨碍器械正常运行，或造成安全隐患。</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A5.7</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具有测量、监视或有数值显示功能的医疗器械，其设计和生产应当符合人体工程学</w:t>
            </w:r>
            <w:r w:rsidRPr="0040202B">
              <w:rPr>
                <w:color w:val="000000"/>
                <w:kern w:val="0"/>
                <w:szCs w:val="18"/>
              </w:rPr>
              <w:t>/</w:t>
            </w:r>
            <w:r w:rsidRPr="0040202B">
              <w:rPr>
                <w:color w:val="000000"/>
                <w:kern w:val="0"/>
                <w:szCs w:val="18"/>
              </w:rPr>
              <w:t>可用性原则，并应顾及器械预期用途、预期使用者、使用环境。</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A5.8</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医疗器械的设计和生产应便于使用者、患者或其他人员对其以及相关废弃物的安全处置或再利用。使用说明书应明确安全处置或回收的程序和方法。</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A6</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对电气、机械和热风险的防护</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A6.1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医疗器械的设计和生产应具有机械相关的防护，保护使用者免于承受由诸如运动阻力、不稳定性和活动部件等引起的机械风险。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A6.2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除非振动是器械特定性能的一部分，否则医疗器械的设计和生产应当将产品振动导致的风险降到最低，应尽量采用限制振动（特别是振动源）的方法。</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A6.3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spacing w:val="-4"/>
                <w:kern w:val="0"/>
                <w:szCs w:val="18"/>
              </w:rPr>
            </w:pPr>
            <w:r w:rsidRPr="0040202B">
              <w:rPr>
                <w:color w:val="000000"/>
                <w:spacing w:val="-4"/>
                <w:kern w:val="0"/>
                <w:szCs w:val="18"/>
              </w:rPr>
              <w:t>除非噪声是器械特定性能的一部分，否则医疗器械设计和生产应将产品噪声导致的风险降到最低，应尽量采用限制噪声（特别是噪声源）的方法。</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A6.4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spacing w:val="-4"/>
                <w:kern w:val="0"/>
                <w:szCs w:val="18"/>
              </w:rPr>
            </w:pPr>
            <w:r w:rsidRPr="0040202B">
              <w:rPr>
                <w:color w:val="000000"/>
                <w:spacing w:val="-4"/>
                <w:kern w:val="0"/>
                <w:szCs w:val="18"/>
              </w:rPr>
              <w:t>如果医疗器械的部件在使用前或使用中需要进行连接或重新连接，其设计和生产应当降低这些部件间的连接故障风险。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A6.5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spacing w:val="-4"/>
                <w:kern w:val="0"/>
                <w:szCs w:val="18"/>
              </w:rPr>
            </w:pPr>
            <w:r w:rsidRPr="0040202B">
              <w:rPr>
                <w:color w:val="000000"/>
                <w:spacing w:val="-4"/>
                <w:kern w:val="0"/>
                <w:szCs w:val="18"/>
              </w:rPr>
              <w:t>医疗器械的可接触部件（不包括用于供热或既定温度设置部位）及其周围环境，在正常使用时不应存在过热风险。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291"/>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A7</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rPr>
                <w:color w:val="000000"/>
                <w:kern w:val="0"/>
                <w:szCs w:val="18"/>
              </w:rPr>
            </w:pPr>
            <w:r w:rsidRPr="0040202B">
              <w:rPr>
                <w:color w:val="000000"/>
                <w:kern w:val="0"/>
                <w:szCs w:val="18"/>
              </w:rPr>
              <w:t>有源医疗器械及与其连接的医疗器械</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当有源医疗器械发生单一故障时，应当采取适当的措施消除或降低因此而产生的风险。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患者的安全依赖于内部电源供电的医疗器械，应当具有检测供电状态的功能，并在电源容量不足时提供适当的提示或警告。</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患者的安全取决于外部电源供电状态的医疗器械，应当包括可显示任何电源故障的报警系统。</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用于监视患者一个或多个临床指标的医疗器械，必须配备适当报警系统，在患者健康状况恶化或危及生命时，向使用者发出警报。</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鉴于电磁干扰可能会损害正常运行的装置或设备，医疗器械的设计和生产应降低产生电磁干扰的风险。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334"/>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A7.6</w:t>
            </w:r>
          </w:p>
        </w:tc>
        <w:tc>
          <w:tcPr>
            <w:tcW w:w="4521"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290" w:lineRule="exact"/>
              <w:rPr>
                <w:color w:val="000000"/>
                <w:kern w:val="0"/>
                <w:szCs w:val="18"/>
              </w:rPr>
            </w:pPr>
            <w:r w:rsidRPr="0040202B">
              <w:rPr>
                <w:color w:val="000000"/>
                <w:kern w:val="0"/>
                <w:szCs w:val="18"/>
              </w:rPr>
              <w:t>医疗器械的设计和生产，应确保产品具有足够的抗电磁干扰能力，以确保产品的正常运行。</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A7.7</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当产品按申请人的说明进行安装和维护，在正常状态和单一故障状态时，医疗器械的设计和生产应减少使用者和他人免于遭受意外电击的风险。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243"/>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A8</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290" w:lineRule="exact"/>
              <w:rPr>
                <w:color w:val="000000"/>
                <w:kern w:val="0"/>
                <w:szCs w:val="18"/>
              </w:rPr>
            </w:pPr>
            <w:r w:rsidRPr="0040202B">
              <w:rPr>
                <w:color w:val="000000"/>
                <w:kern w:val="0"/>
                <w:szCs w:val="18"/>
              </w:rPr>
              <w:t>含有软件的医疗器械以及独立软件</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A8.1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A8.2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A8.3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预期与移动计算平台整合使用的软件，其设计和开发，应当考虑平台本身（如屏幕尺寸和对比度、联通性、内存等）以及与其使用相关的外部因素（不同环境下的照明或噪声水平）。</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A8.4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申请人应规定软件按照预期正常运行所必须的最低要求，如硬件、</w:t>
            </w:r>
            <w:r w:rsidRPr="0040202B">
              <w:rPr>
                <w:color w:val="000000"/>
                <w:kern w:val="0"/>
                <w:szCs w:val="18"/>
              </w:rPr>
              <w:t>IT</w:t>
            </w:r>
            <w:r w:rsidRPr="0040202B">
              <w:rPr>
                <w:color w:val="000000"/>
                <w:kern w:val="0"/>
                <w:szCs w:val="18"/>
              </w:rPr>
              <w:t>网络特性和</w:t>
            </w:r>
            <w:r w:rsidRPr="0040202B">
              <w:rPr>
                <w:color w:val="000000"/>
                <w:kern w:val="0"/>
                <w:szCs w:val="18"/>
              </w:rPr>
              <w:t>IT</w:t>
            </w:r>
            <w:r w:rsidRPr="0040202B">
              <w:rPr>
                <w:color w:val="000000"/>
                <w:kern w:val="0"/>
                <w:szCs w:val="18"/>
              </w:rPr>
              <w:t>网络安全措施，包括未经授权的访问。</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A8.5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医疗器械的设计、生产和维护应能提供足够的网络安全水平，以防止未经授权的访问。</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A9</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具有诊断或测量功能的医疗器械</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A9.1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具有诊断或测量（包括监测）功能的医疗器械的设计和生产，应当基于适当的科技方法，除其他性能外，还应确保相应的准确度、精密度和稳定性，以实现其预期目的。</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申请人应规定准确度限值（如适用）。</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为便于使用者理解和接受，数字化测量值应以标准化单位表示（如可能），推荐使用国际通用的标准计量单位，考虑到安全、使用者的熟悉程度和既往的临床实践，也可使用其他公认的计量单位。</w:t>
            </w:r>
          </w:p>
          <w:p w:rsidR="004810CA" w:rsidRPr="0040202B" w:rsidRDefault="004810CA" w:rsidP="0040202B">
            <w:pPr>
              <w:spacing w:line="300" w:lineRule="exact"/>
              <w:jc w:val="left"/>
              <w:rPr>
                <w:color w:val="000000"/>
                <w:kern w:val="0"/>
                <w:szCs w:val="18"/>
              </w:rPr>
            </w:pPr>
            <w:r w:rsidRPr="0040202B">
              <w:rPr>
                <w:color w:val="000000"/>
                <w:kern w:val="0"/>
                <w:szCs w:val="18"/>
              </w:rPr>
              <w:t>c)</w:t>
            </w:r>
            <w:r w:rsidRPr="0040202B">
              <w:rPr>
                <w:color w:val="000000"/>
                <w:kern w:val="0"/>
                <w:szCs w:val="18"/>
              </w:rPr>
              <w:tab/>
            </w:r>
            <w:r w:rsidRPr="0040202B">
              <w:rPr>
                <w:color w:val="000000"/>
                <w:kern w:val="0"/>
                <w:szCs w:val="18"/>
              </w:rPr>
              <w:t>医疗器械导示器和控制器的功能应有详细的说明，若器械通过可视化系统提供与操作、操作指示或调整参数有关的说明，该类信息应能够被使用者和患者（适用时）理解。</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A10</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r w:rsidRPr="0040202B">
              <w:rPr>
                <w:rFonts w:ascii="Times New Roman" w:hAnsi="Times New Roman"/>
                <w:color w:val="000000"/>
                <w:kern w:val="2"/>
                <w:sz w:val="21"/>
                <w:szCs w:val="18"/>
              </w:rPr>
              <w:t>说明书和标签</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A10.1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r w:rsidRPr="0040202B">
              <w:rPr>
                <w:rFonts w:ascii="Times New Roman" w:hAnsi="Times New Roman"/>
                <w:color w:val="000000"/>
                <w:kern w:val="2"/>
                <w:sz w:val="21"/>
                <w:szCs w:val="18"/>
              </w:rPr>
              <w:t>辐射防护</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医疗器械的设计、生产和包装应当考虑尽量减少使用者、他人和患者（如适用）的辐射吸收剂量，同时不影响其诊断或治疗功能。</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具有辐射或潜在辐射危害的医疗器械，其操作说明应详细说明辐射的性质，对使用者、他人或患者（若适用）的防护措施，避免误用的方法，降低运输、贮存和安装的风险。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若医疗器械有辐射或有潜在辐射危害，应当具备辐射泄漏声光报警功能（如可行）。</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A11.4</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A11.5</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具有辐射或潜在辐射危害且需要安装的医疗器械，应当在操作说明中明确有关验收和性能测试、验收标准及维护程序的信息。</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A11.6</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若医疗器械对使用者有辐射或潜在辐射危害，其设计和生产应确保辐射剂量、几何分布、能量分</w:t>
            </w:r>
            <w:r w:rsidRPr="0040202B">
              <w:rPr>
                <w:color w:val="000000"/>
                <w:kern w:val="0"/>
                <w:szCs w:val="18"/>
              </w:rPr>
              <w:lastRenderedPageBreak/>
              <w:t>布（或质量）以及其他辐射关键特性能够得到合理的控制和调整，并可在使用过程中进行监控（如适用）。上述医疗器械的设计和生产，应确保相关可变参数的重复性在可接受范围内。</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trHeight w:val="307"/>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lastRenderedPageBreak/>
              <w:t>A12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rPr>
                <w:color w:val="000000"/>
                <w:kern w:val="0"/>
                <w:szCs w:val="18"/>
              </w:rPr>
            </w:pPr>
            <w:r w:rsidRPr="0040202B">
              <w:rPr>
                <w:color w:val="000000"/>
                <w:kern w:val="0"/>
                <w:szCs w:val="18"/>
              </w:rPr>
              <w:t>对非专业用户使用风险的防护</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A12.1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A12.2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供非专业用户使用的医疗器械（如自测或近患者检测）的设计和生产应当：</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确保使用者可以按照使用说明书的规定安全准确的使用。当无法将与说明书相关的风险降低到适当水平时，可以通过培训来降低此类风险；</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尽可能减少非专业用户因错误操作和错误解释结果导致的风险。</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A12.3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供非专业用户使用的医疗器械可通过以下措施方便用户：</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在使用时，可以验证器械的正常运行；</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当器械不能正常运行或提供无效结果时，会发出警告。</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A13</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含有生物源材料的医疗器械</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A13.1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对于含有动植物组织、细胞或其它物质，细菌来源物质或衍生物的医疗器械，若无活性或以非活性状态交付，应当：</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组织、细胞及其衍生物应来源于已受控且符合预期用途的动物种属。动物的地理来源信息应根据相关法规要求予以保留。</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A13.2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对于监管部门而言，当医疗器械由人体来源的组织、细胞、物质或其衍生物生产时，应当采取以下措施：</w:t>
            </w:r>
          </w:p>
          <w:p w:rsidR="004810CA" w:rsidRPr="0040202B" w:rsidRDefault="004810CA" w:rsidP="0040202B">
            <w:pPr>
              <w:spacing w:line="300" w:lineRule="exact"/>
              <w:jc w:val="left"/>
              <w:rPr>
                <w:color w:val="000000"/>
                <w:kern w:val="0"/>
                <w:szCs w:val="18"/>
              </w:rPr>
            </w:pPr>
            <w:r w:rsidRPr="0040202B">
              <w:rPr>
                <w:color w:val="000000"/>
                <w:kern w:val="0"/>
                <w:szCs w:val="18"/>
              </w:rPr>
              <w:t>a)</w:t>
            </w:r>
            <w:r w:rsidRPr="0040202B">
              <w:rPr>
                <w:color w:val="000000"/>
                <w:kern w:val="0"/>
                <w:szCs w:val="18"/>
              </w:rPr>
              <w:tab/>
            </w:r>
            <w:r w:rsidRPr="0040202B">
              <w:rPr>
                <w:color w:val="000000"/>
                <w:kern w:val="0"/>
                <w:szCs w:val="18"/>
              </w:rPr>
              <w:t>组织、细胞的捐赠、获取和检测应依据相关法规的要求进行；</w:t>
            </w:r>
          </w:p>
          <w:p w:rsidR="004810CA" w:rsidRPr="0040202B" w:rsidRDefault="004810CA" w:rsidP="0040202B">
            <w:pPr>
              <w:spacing w:line="300" w:lineRule="exact"/>
              <w:jc w:val="left"/>
              <w:rPr>
                <w:color w:val="000000"/>
                <w:kern w:val="0"/>
                <w:szCs w:val="18"/>
              </w:rPr>
            </w:pPr>
            <w:r w:rsidRPr="0040202B">
              <w:rPr>
                <w:color w:val="000000"/>
                <w:kern w:val="0"/>
                <w:szCs w:val="18"/>
              </w:rPr>
              <w:t>b)</w:t>
            </w:r>
            <w:r w:rsidRPr="0040202B">
              <w:rPr>
                <w:color w:val="000000"/>
                <w:kern w:val="0"/>
                <w:szCs w:val="18"/>
              </w:rPr>
              <w:tab/>
            </w:r>
            <w:r w:rsidRPr="0040202B">
              <w:rPr>
                <w:color w:val="000000"/>
                <w:kern w:val="0"/>
                <w:szCs w:val="18"/>
              </w:rPr>
              <w:t>为确保患者、使用者或他人的安全，应对组</w:t>
            </w:r>
            <w:r w:rsidRPr="0040202B">
              <w:rPr>
                <w:color w:val="000000"/>
                <w:kern w:val="0"/>
                <w:szCs w:val="18"/>
              </w:rPr>
              <w:lastRenderedPageBreak/>
              <w:t>织、细胞或其衍生物进行加工、保存或其他处理。对于病毒和其他传染源，应通过源头控制，或在生产过程中通过经验证的先进技术消除或灭活。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A13.3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当医疗器械使用</w:t>
            </w:r>
            <w:r w:rsidRPr="0040202B">
              <w:rPr>
                <w:color w:val="000000"/>
                <w:kern w:val="0"/>
                <w:szCs w:val="18"/>
              </w:rPr>
              <w:t>A13.1</w:t>
            </w:r>
            <w:r w:rsidRPr="0040202B">
              <w:rPr>
                <w:color w:val="000000"/>
                <w:kern w:val="0"/>
                <w:szCs w:val="18"/>
              </w:rPr>
              <w:t>、</w:t>
            </w:r>
            <w:r w:rsidRPr="0040202B">
              <w:rPr>
                <w:color w:val="000000"/>
                <w:kern w:val="0"/>
                <w:szCs w:val="18"/>
              </w:rPr>
              <w:t>A13.2</w:t>
            </w:r>
            <w:r w:rsidRPr="0040202B">
              <w:rPr>
                <w:color w:val="000000"/>
                <w:kern w:val="0"/>
                <w:szCs w:val="1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B</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适用于医疗器械的基本原则</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B1</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化学、物理和生物学特性</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B1.1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根据医疗器械的预期用途，以及产品（例如某些可吸收产品）在人体的吸收、分布、代谢和排泄情况，对于医疗器械的化学、物理和生物学特性，应特别注意所用材料</w:t>
            </w:r>
            <w:r w:rsidRPr="0040202B">
              <w:rPr>
                <w:color w:val="000000"/>
                <w:kern w:val="0"/>
                <w:szCs w:val="18"/>
              </w:rPr>
              <w:t>/</w:t>
            </w:r>
            <w:r w:rsidRPr="0040202B">
              <w:rPr>
                <w:color w:val="000000"/>
                <w:kern w:val="0"/>
                <w:szCs w:val="18"/>
              </w:rPr>
              <w:t>物质与人体组织、细胞和体液之间的相容性。</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29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B1.2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B1.3</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医疗器械的设计和生产，除接触完整皮肤的产品外，应适当降低释放进入患者或使用者体内的颗粒，产生与颗粒尺寸和性质相关的风险。对纳米材料应给予重点关注。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B2</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辐射防护</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B2.1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用于医学影像的医疗器械具有电离辐射时，其设计和生产，在保障图像和</w:t>
            </w:r>
            <w:r w:rsidRPr="0040202B">
              <w:rPr>
                <w:color w:val="000000"/>
                <w:kern w:val="0"/>
                <w:szCs w:val="18"/>
              </w:rPr>
              <w:t>/</w:t>
            </w:r>
            <w:r w:rsidRPr="0040202B">
              <w:rPr>
                <w:color w:val="000000"/>
                <w:kern w:val="0"/>
                <w:szCs w:val="18"/>
              </w:rPr>
              <w:t>或输出质量的同时，应尽可能降低患者、使用者和其他人员的辐射吸收剂量。</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B2.2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具有电离辐射的医疗器械应能够精确预估（或监测）、显示、报告和记录治疗过程中的辐射剂量。</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rPr>
                <w:rFonts w:ascii="Times New Roman" w:eastAsia="宋体" w:hAnsi="Times New Roman"/>
                <w:color w:val="000000"/>
                <w:kern w:val="2"/>
                <w:sz w:val="21"/>
              </w:rPr>
            </w:pPr>
            <w:r w:rsidRPr="0040202B">
              <w:rPr>
                <w:rFonts w:ascii="Times New Roman" w:eastAsia="宋体" w:hAnsi="Times New Roman"/>
                <w:color w:val="000000"/>
                <w:kern w:val="2"/>
                <w:sz w:val="21"/>
              </w:rPr>
              <w:t>B3</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植入医疗器械的特殊要求</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B3.1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植入医疗器械的设计和生产，应当能消除或降低相关治疗风险，例如除颤器、高频手术设备的使用。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B3.2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可编程有源植入式医疗器械的设计和生产，应保证产品在无需手术时即可准确识别。</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pStyle w:val="ad"/>
              <w:spacing w:line="300" w:lineRule="exact"/>
              <w:ind w:firstLine="420"/>
              <w:jc w:val="center"/>
              <w:rPr>
                <w:rFonts w:ascii="Times New Roman" w:eastAsia="宋体" w:hAnsi="Times New Roman"/>
                <w:color w:val="000000"/>
                <w:kern w:val="2"/>
                <w:sz w:val="21"/>
              </w:rPr>
            </w:pPr>
            <w:r w:rsidRPr="0040202B">
              <w:rPr>
                <w:rFonts w:ascii="Times New Roman" w:eastAsia="宋体" w:hAnsi="Times New Roman"/>
                <w:color w:val="000000"/>
                <w:kern w:val="2"/>
                <w:sz w:val="21"/>
              </w:rPr>
              <w:t>B4</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提供能量或物质的医疗器械对患者或使用者的风险防护</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B4.1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290" w:lineRule="exact"/>
              <w:jc w:val="left"/>
              <w:rPr>
                <w:color w:val="000000"/>
                <w:kern w:val="0"/>
                <w:szCs w:val="18"/>
              </w:rPr>
            </w:pPr>
            <w:r w:rsidRPr="0040202B">
              <w:rPr>
                <w:color w:val="000000"/>
                <w:kern w:val="0"/>
                <w:szCs w:val="18"/>
              </w:rPr>
              <w:t>用于给患者提供能量或物质的医疗器械，其设计和生产应能精确地设定和维持输出量，以保证患者、使用者和其他人的安全。</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lastRenderedPageBreak/>
              <w:t>B4.2</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若输出量不足可能导致危险，医疗器械应具有防止和</w:t>
            </w:r>
            <w:r w:rsidRPr="0040202B">
              <w:rPr>
                <w:color w:val="000000"/>
                <w:kern w:val="0"/>
                <w:szCs w:val="18"/>
              </w:rPr>
              <w:t>/</w:t>
            </w:r>
            <w:r w:rsidRPr="0040202B">
              <w:rPr>
                <w:color w:val="000000"/>
                <w:kern w:val="0"/>
                <w:szCs w:val="18"/>
              </w:rPr>
              <w:t>或指示</w:t>
            </w:r>
            <w:r w:rsidRPr="0040202B">
              <w:rPr>
                <w:color w:val="000000"/>
                <w:kern w:val="0"/>
                <w:szCs w:val="18"/>
              </w:rPr>
              <w:t>“</w:t>
            </w:r>
            <w:r w:rsidRPr="0040202B">
              <w:rPr>
                <w:color w:val="000000"/>
                <w:kern w:val="0"/>
                <w:szCs w:val="18"/>
              </w:rPr>
              <w:t>输出量不足</w:t>
            </w:r>
            <w:r w:rsidRPr="0040202B">
              <w:rPr>
                <w:color w:val="000000"/>
                <w:kern w:val="0"/>
                <w:szCs w:val="18"/>
              </w:rPr>
              <w:t>”</w:t>
            </w:r>
            <w:r w:rsidRPr="0040202B">
              <w:rPr>
                <w:color w:val="000000"/>
                <w:kern w:val="0"/>
                <w:szCs w:val="18"/>
              </w:rPr>
              <w:t>的功能。意外输出危险等级量的能量或物质作为较大风险，应采取适当的措施予以降低。</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B5</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r w:rsidRPr="0040202B">
              <w:rPr>
                <w:rFonts w:ascii="Times New Roman" w:hAnsi="Times New Roman"/>
                <w:color w:val="000000"/>
                <w:kern w:val="2"/>
                <w:sz w:val="21"/>
                <w:szCs w:val="18"/>
              </w:rPr>
              <w:t>含有药物成分的组合产品</w:t>
            </w: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B5.1</w:t>
            </w:r>
          </w:p>
        </w:tc>
        <w:tc>
          <w:tcPr>
            <w:tcW w:w="4521"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spacing w:line="300" w:lineRule="exact"/>
              <w:jc w:val="left"/>
              <w:rPr>
                <w:color w:val="000000"/>
                <w:kern w:val="0"/>
                <w:szCs w:val="18"/>
              </w:rPr>
            </w:pPr>
            <w:r w:rsidRPr="0040202B">
              <w:rPr>
                <w:color w:val="000000"/>
                <w:kern w:val="0"/>
                <w:szCs w:val="18"/>
              </w:rPr>
              <w:t>当医疗器械组成成分中含有某种物质，依据监管法规，该物质作为药用产品</w:t>
            </w:r>
            <w:r w:rsidRPr="0040202B">
              <w:rPr>
                <w:color w:val="000000"/>
                <w:kern w:val="0"/>
                <w:szCs w:val="18"/>
              </w:rPr>
              <w:t>/</w:t>
            </w:r>
            <w:r w:rsidRPr="0040202B">
              <w:rPr>
                <w:color w:val="000000"/>
                <w:kern w:val="0"/>
                <w:szCs w:val="18"/>
              </w:rPr>
              <w:t>药物进行管理，且该物质在体内为医疗器械提供辅助作用时，应将医疗器械和此物质作为一个整体，对其安全和性能进行验证，同时应当验证该物质的特征、安全、质量和有效性。</w:t>
            </w:r>
          </w:p>
        </w:tc>
        <w:tc>
          <w:tcPr>
            <w:tcW w:w="76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left"/>
              <w:rPr>
                <w:rFonts w:ascii="Times New Roman" w:hAnsi="Times New Roman"/>
                <w:color w:val="000000"/>
                <w:kern w:val="2"/>
                <w:sz w:val="21"/>
                <w:szCs w:val="18"/>
              </w:rPr>
            </w:pPr>
          </w:p>
        </w:tc>
      </w:tr>
      <w:tr w:rsidR="004810CA" w:rsidRPr="0040202B">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4810CA" w:rsidRPr="0040202B" w:rsidRDefault="004810CA" w:rsidP="0040202B">
            <w:pPr>
              <w:spacing w:line="300" w:lineRule="exact"/>
              <w:jc w:val="center"/>
              <w:rPr>
                <w:color w:val="000000"/>
                <w:kern w:val="0"/>
                <w:szCs w:val="18"/>
              </w:rPr>
            </w:pPr>
            <w:r w:rsidRPr="0040202B">
              <w:rPr>
                <w:color w:val="000000"/>
                <w:kern w:val="0"/>
                <w:szCs w:val="18"/>
              </w:rPr>
              <w:t>说明</w:t>
            </w:r>
          </w:p>
        </w:tc>
        <w:tc>
          <w:tcPr>
            <w:tcW w:w="8218" w:type="dxa"/>
            <w:gridSpan w:val="4"/>
            <w:tcBorders>
              <w:top w:val="single" w:sz="4" w:space="0" w:color="auto"/>
              <w:left w:val="single" w:sz="4" w:space="0" w:color="auto"/>
              <w:bottom w:val="single" w:sz="4" w:space="0" w:color="auto"/>
              <w:right w:val="single" w:sz="4" w:space="0" w:color="auto"/>
            </w:tcBorders>
          </w:tcPr>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1.</w:t>
            </w:r>
            <w:r w:rsidRPr="0040202B">
              <w:rPr>
                <w:rFonts w:ascii="Times New Roman" w:hAnsi="Times New Roman"/>
                <w:color w:val="000000"/>
                <w:kern w:val="2"/>
                <w:sz w:val="21"/>
                <w:szCs w:val="18"/>
              </w:rPr>
              <w:t>第</w:t>
            </w:r>
            <w:r w:rsidRPr="0040202B">
              <w:rPr>
                <w:rFonts w:ascii="Times New Roman" w:hAnsi="Times New Roman"/>
                <w:color w:val="000000"/>
                <w:kern w:val="2"/>
                <w:sz w:val="21"/>
                <w:szCs w:val="18"/>
              </w:rPr>
              <w:t>3</w:t>
            </w:r>
            <w:r w:rsidRPr="0040202B">
              <w:rPr>
                <w:rFonts w:ascii="Times New Roman" w:hAnsi="Times New Roman"/>
                <w:color w:val="000000"/>
                <w:kern w:val="2"/>
                <w:sz w:val="21"/>
                <w:szCs w:val="18"/>
              </w:rPr>
              <w:t>列若适用，应当注明</w:t>
            </w: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是</w:t>
            </w: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。不适用应当注明</w:t>
            </w: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否</w:t>
            </w: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，并结合产品特点说明不适用的理由。</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2.</w:t>
            </w:r>
            <w:r w:rsidRPr="0040202B">
              <w:rPr>
                <w:rFonts w:ascii="Times New Roman" w:hAnsi="Times New Roman"/>
                <w:color w:val="000000"/>
                <w:kern w:val="2"/>
                <w:sz w:val="21"/>
                <w:szCs w:val="18"/>
              </w:rPr>
              <w:t>第</w:t>
            </w:r>
            <w:r w:rsidRPr="0040202B">
              <w:rPr>
                <w:rFonts w:ascii="Times New Roman" w:hAnsi="Times New Roman"/>
                <w:color w:val="000000"/>
                <w:kern w:val="2"/>
                <w:sz w:val="21"/>
                <w:szCs w:val="18"/>
              </w:rPr>
              <w:t>4</w:t>
            </w:r>
            <w:r w:rsidRPr="0040202B">
              <w:rPr>
                <w:rFonts w:ascii="Times New Roman" w:hAnsi="Times New Roman"/>
                <w:color w:val="000000"/>
                <w:kern w:val="2"/>
                <w:sz w:val="21"/>
                <w:szCs w:val="18"/>
              </w:rPr>
              <w:t>列应当填写证明该医疗器械符合安全和性能基本原则的方法，通常可采取下列方法证明符合基本要求：</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1</w:t>
            </w:r>
            <w:r w:rsidRPr="0040202B">
              <w:rPr>
                <w:rFonts w:ascii="Times New Roman" w:hAnsi="Times New Roman"/>
                <w:color w:val="000000"/>
                <w:kern w:val="2"/>
                <w:sz w:val="21"/>
                <w:szCs w:val="18"/>
              </w:rPr>
              <w:t>）符合已发布的医疗器械部门规章、规范性文件。</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2</w:t>
            </w:r>
            <w:r w:rsidRPr="0040202B">
              <w:rPr>
                <w:rFonts w:ascii="Times New Roman" w:hAnsi="Times New Roman"/>
                <w:color w:val="000000"/>
                <w:kern w:val="2"/>
                <w:sz w:val="21"/>
                <w:szCs w:val="18"/>
              </w:rPr>
              <w:t>）符合医疗器械相关国家标准、行业标准、国际标准。</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3</w:t>
            </w:r>
            <w:r w:rsidRPr="0040202B">
              <w:rPr>
                <w:rFonts w:ascii="Times New Roman" w:hAnsi="Times New Roman"/>
                <w:color w:val="000000"/>
                <w:kern w:val="2"/>
                <w:sz w:val="21"/>
                <w:szCs w:val="18"/>
              </w:rPr>
              <w:t>）符合普遍接受的测试方法。</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4</w:t>
            </w:r>
            <w:r w:rsidRPr="0040202B">
              <w:rPr>
                <w:rFonts w:ascii="Times New Roman" w:hAnsi="Times New Roman"/>
                <w:color w:val="000000"/>
                <w:kern w:val="2"/>
                <w:sz w:val="21"/>
                <w:szCs w:val="18"/>
              </w:rPr>
              <w:t>）符合企业自定的方法。</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5</w:t>
            </w:r>
            <w:r w:rsidRPr="0040202B">
              <w:rPr>
                <w:rFonts w:ascii="Times New Roman" w:hAnsi="Times New Roman"/>
                <w:color w:val="000000"/>
                <w:kern w:val="2"/>
                <w:sz w:val="21"/>
                <w:szCs w:val="18"/>
              </w:rPr>
              <w:t>）与已批准上市的同类产品的比较。</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w:t>
            </w:r>
            <w:r w:rsidRPr="0040202B">
              <w:rPr>
                <w:rFonts w:ascii="Times New Roman" w:hAnsi="Times New Roman"/>
                <w:color w:val="000000"/>
                <w:kern w:val="2"/>
                <w:sz w:val="21"/>
                <w:szCs w:val="18"/>
              </w:rPr>
              <w:t>6</w:t>
            </w:r>
            <w:r w:rsidRPr="0040202B">
              <w:rPr>
                <w:rFonts w:ascii="Times New Roman" w:hAnsi="Times New Roman"/>
                <w:color w:val="000000"/>
                <w:kern w:val="2"/>
                <w:sz w:val="21"/>
                <w:szCs w:val="18"/>
              </w:rPr>
              <w:t>）临床评价。</w:t>
            </w:r>
          </w:p>
          <w:p w:rsidR="004810CA" w:rsidRPr="0040202B" w:rsidRDefault="004810CA" w:rsidP="0040202B">
            <w:pPr>
              <w:pStyle w:val="ab"/>
              <w:spacing w:line="300" w:lineRule="exact"/>
              <w:jc w:val="both"/>
              <w:rPr>
                <w:rFonts w:ascii="Times New Roman" w:hAnsi="Times New Roman"/>
                <w:color w:val="000000"/>
                <w:kern w:val="2"/>
                <w:sz w:val="21"/>
                <w:szCs w:val="18"/>
              </w:rPr>
            </w:pPr>
            <w:r w:rsidRPr="0040202B">
              <w:rPr>
                <w:rFonts w:ascii="Times New Roman" w:hAnsi="Times New Roman"/>
                <w:color w:val="000000"/>
                <w:kern w:val="2"/>
                <w:sz w:val="21"/>
                <w:szCs w:val="18"/>
              </w:rPr>
              <w:t>3.</w:t>
            </w:r>
            <w:r w:rsidRPr="0040202B">
              <w:rPr>
                <w:rFonts w:ascii="Times New Roman" w:hAnsi="Times New Roman"/>
                <w:color w:val="000000"/>
                <w:kern w:val="2"/>
                <w:sz w:val="21"/>
                <w:szCs w:val="18"/>
              </w:rPr>
              <w:t>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rsidR="004810CA" w:rsidRDefault="004810CA"/>
    <w:sectPr w:rsidR="004810CA">
      <w:footerReference w:type="default" r:id="rId7"/>
      <w:pgSz w:w="11906" w:h="16838"/>
      <w:pgMar w:top="1928" w:right="1531" w:bottom="181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0FA" w:rsidRDefault="009770FA">
      <w:r>
        <w:separator/>
      </w:r>
    </w:p>
  </w:endnote>
  <w:endnote w:type="continuationSeparator" w:id="1">
    <w:p w:rsidR="009770FA" w:rsidRDefault="00977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CA" w:rsidRDefault="004810CA">
    <w:pPr>
      <w:pStyle w:val="a6"/>
      <w:jc w:val="right"/>
      <w:rPr>
        <w:sz w:val="28"/>
        <w:szCs w:val="28"/>
      </w:rPr>
    </w:pPr>
    <w:r>
      <w:rPr>
        <w:sz w:val="28"/>
      </w:rPr>
      <w:pict>
        <v:shapetype id="_x0000_t202" coordsize="21600,21600" o:spt="202" path="m,l,21600r21600,l21600,xe">
          <v:stroke joinstyle="miter"/>
          <v:path gradientshapeok="t" o:connecttype="rect"/>
        </v:shapetype>
        <v:shape id="文本框 1" o:spid="_x0000_s2051" type="#_x0000_t202" style="position:absolute;left:0;text-align:left;margin-left:92.8pt;margin-top:0;width:2in;height:2in;z-index:251657728;mso-wrap-style:none;mso-position-horizontal:outside;mso-position-horizontal-relative:margin" filled="f" stroked="f">
          <v:fill o:detectmouseclick="t"/>
          <v:textbox style="mso-next-textbox:#文本框 1;mso-fit-shape-to-text:t" inset="0,0,0,0">
            <w:txbxContent>
              <w:p w:rsidR="004810CA" w:rsidRDefault="004810CA">
                <w:pPr>
                  <w:pStyle w:val="a6"/>
                  <w:jc w:val="right"/>
                </w:pPr>
                <w:r>
                  <w:rPr>
                    <w:rFonts w:hint="eastAsia"/>
                    <w:color w:val="FFFFFF"/>
                    <w:sz w:val="28"/>
                    <w:szCs w:val="28"/>
                  </w:rPr>
                  <w:t>—</w:t>
                </w:r>
                <w:r>
                  <w:rPr>
                    <w:rFonts w:hint="eastAsia"/>
                    <w:sz w:val="28"/>
                    <w:szCs w:val="28"/>
                  </w:rPr>
                  <w:t>—</w:t>
                </w:r>
                <w:r>
                  <w:rPr>
                    <w:sz w:val="28"/>
                    <w:szCs w:val="28"/>
                    <w:lang/>
                  </w:rPr>
                  <w:t xml:space="preserve"> </w:t>
                </w:r>
                <w:r>
                  <w:rPr>
                    <w:sz w:val="28"/>
                    <w:szCs w:val="28"/>
                  </w:rPr>
                  <w:fldChar w:fldCharType="begin"/>
                </w:r>
                <w:r>
                  <w:rPr>
                    <w:sz w:val="28"/>
                    <w:szCs w:val="28"/>
                  </w:rPr>
                  <w:instrText>PAGE   \* MERGEFORMAT</w:instrText>
                </w:r>
                <w:r>
                  <w:rPr>
                    <w:sz w:val="28"/>
                    <w:szCs w:val="28"/>
                  </w:rPr>
                  <w:fldChar w:fldCharType="separate"/>
                </w:r>
                <w:r w:rsidR="0072616A" w:rsidRPr="0072616A">
                  <w:rPr>
                    <w:noProof/>
                    <w:sz w:val="28"/>
                    <w:szCs w:val="28"/>
                    <w:lang w:val="zh-CN"/>
                  </w:rPr>
                  <w:t>10</w:t>
                </w:r>
                <w:r>
                  <w:rPr>
                    <w:sz w:val="28"/>
                    <w:szCs w:val="28"/>
                  </w:rPr>
                  <w:fldChar w:fldCharType="end"/>
                </w:r>
                <w:r>
                  <w:rPr>
                    <w:sz w:val="28"/>
                    <w:szCs w:val="28"/>
                    <w:lang/>
                  </w:rPr>
                  <w:t xml:space="preserve"> </w:t>
                </w:r>
                <w:r>
                  <w:rPr>
                    <w:rFonts w:hint="eastAsia"/>
                    <w:sz w:val="28"/>
                    <w:szCs w:val="28"/>
                  </w:rPr>
                  <w:t>—</w:t>
                </w:r>
                <w:r>
                  <w:rPr>
                    <w:rFonts w:hint="eastAsia"/>
                    <w:color w:val="FFFFFF"/>
                    <w:sz w:val="28"/>
                    <w:szCs w:val="28"/>
                  </w:rPr>
                  <w:t>—</w:t>
                </w:r>
              </w:p>
            </w:txbxContent>
          </v:textbox>
          <w10:wrap anchorx="margin"/>
        </v:shape>
      </w:pict>
    </w:r>
  </w:p>
  <w:p w:rsidR="004810CA" w:rsidRDefault="004810C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0FA" w:rsidRDefault="009770FA">
      <w:r>
        <w:separator/>
      </w:r>
    </w:p>
  </w:footnote>
  <w:footnote w:type="continuationSeparator" w:id="1">
    <w:p w:rsidR="009770FA" w:rsidRDefault="00977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69C"/>
    <w:multiLevelType w:val="multilevel"/>
    <w:tmpl w:val="16A3169C"/>
    <w:lvl w:ilvl="0">
      <w:start w:val="2"/>
      <w:numFmt w:val="japaneseCounting"/>
      <w:lvlText w:val="（%1）"/>
      <w:lvlJc w:val="left"/>
      <w:pPr>
        <w:ind w:left="1678" w:hanging="108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51450"/>
    <w:rsid w:val="00071507"/>
    <w:rsid w:val="000A2989"/>
    <w:rsid w:val="000D5FF9"/>
    <w:rsid w:val="000E0170"/>
    <w:rsid w:val="00101F08"/>
    <w:rsid w:val="00157D65"/>
    <w:rsid w:val="00164368"/>
    <w:rsid w:val="00186786"/>
    <w:rsid w:val="001B61C4"/>
    <w:rsid w:val="001C492C"/>
    <w:rsid w:val="001D3923"/>
    <w:rsid w:val="001D7B00"/>
    <w:rsid w:val="001F3FB0"/>
    <w:rsid w:val="00204B69"/>
    <w:rsid w:val="00213019"/>
    <w:rsid w:val="00247F9A"/>
    <w:rsid w:val="00277D15"/>
    <w:rsid w:val="002A510C"/>
    <w:rsid w:val="002A7F53"/>
    <w:rsid w:val="002E5DFA"/>
    <w:rsid w:val="002F2CC3"/>
    <w:rsid w:val="00323910"/>
    <w:rsid w:val="003330A7"/>
    <w:rsid w:val="0035031B"/>
    <w:rsid w:val="00351116"/>
    <w:rsid w:val="00352FFE"/>
    <w:rsid w:val="0036326B"/>
    <w:rsid w:val="003B39B2"/>
    <w:rsid w:val="003B452F"/>
    <w:rsid w:val="003C4A36"/>
    <w:rsid w:val="003D08E2"/>
    <w:rsid w:val="003D78E8"/>
    <w:rsid w:val="003E7CB8"/>
    <w:rsid w:val="0040202B"/>
    <w:rsid w:val="00405AE4"/>
    <w:rsid w:val="004218DC"/>
    <w:rsid w:val="00453B18"/>
    <w:rsid w:val="004810CA"/>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616A"/>
    <w:rsid w:val="00727597"/>
    <w:rsid w:val="00735046"/>
    <w:rsid w:val="00766F07"/>
    <w:rsid w:val="00793C02"/>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5763C"/>
    <w:rsid w:val="0097437D"/>
    <w:rsid w:val="009770FA"/>
    <w:rsid w:val="009869EE"/>
    <w:rsid w:val="00991BF3"/>
    <w:rsid w:val="009A1829"/>
    <w:rsid w:val="009A2DB4"/>
    <w:rsid w:val="009D7C65"/>
    <w:rsid w:val="009F63A3"/>
    <w:rsid w:val="00A03AD8"/>
    <w:rsid w:val="00A172E3"/>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47A68"/>
    <w:rsid w:val="00B64617"/>
    <w:rsid w:val="00B84EF7"/>
    <w:rsid w:val="00BA00D5"/>
    <w:rsid w:val="00BA1FC7"/>
    <w:rsid w:val="00BE16F8"/>
    <w:rsid w:val="00C05E89"/>
    <w:rsid w:val="00C1570A"/>
    <w:rsid w:val="00C51B28"/>
    <w:rsid w:val="00C57201"/>
    <w:rsid w:val="00C578A0"/>
    <w:rsid w:val="00C60442"/>
    <w:rsid w:val="00C73515"/>
    <w:rsid w:val="00C74518"/>
    <w:rsid w:val="00C92BC0"/>
    <w:rsid w:val="00CA2B21"/>
    <w:rsid w:val="00CC6505"/>
    <w:rsid w:val="00CD27CB"/>
    <w:rsid w:val="00CE7A0B"/>
    <w:rsid w:val="00D03FFD"/>
    <w:rsid w:val="00D30F3B"/>
    <w:rsid w:val="00D53A64"/>
    <w:rsid w:val="00D61B72"/>
    <w:rsid w:val="00DD4D3D"/>
    <w:rsid w:val="00DD5C43"/>
    <w:rsid w:val="00DE2F0A"/>
    <w:rsid w:val="00DF1936"/>
    <w:rsid w:val="00E05A99"/>
    <w:rsid w:val="00E21EF7"/>
    <w:rsid w:val="00E41212"/>
    <w:rsid w:val="00E41A1A"/>
    <w:rsid w:val="00E73776"/>
    <w:rsid w:val="00ED2031"/>
    <w:rsid w:val="00F0289D"/>
    <w:rsid w:val="00F64776"/>
    <w:rsid w:val="00F6624B"/>
    <w:rsid w:val="00F8685B"/>
    <w:rsid w:val="00FA60C8"/>
    <w:rsid w:val="00FD22E5"/>
    <w:rsid w:val="00FD443E"/>
    <w:rsid w:val="00FD754D"/>
    <w:rsid w:val="0BEC7EA0"/>
    <w:rsid w:val="0F9E0E77"/>
    <w:rsid w:val="1FFB013F"/>
    <w:rsid w:val="227D7264"/>
    <w:rsid w:val="2A8D465A"/>
    <w:rsid w:val="3387E3F3"/>
    <w:rsid w:val="3FD5E313"/>
    <w:rsid w:val="43E2636A"/>
    <w:rsid w:val="4C1A048F"/>
    <w:rsid w:val="55FFC397"/>
    <w:rsid w:val="591D3208"/>
    <w:rsid w:val="5F1DC5A7"/>
    <w:rsid w:val="60FE1019"/>
    <w:rsid w:val="63E446CD"/>
    <w:rsid w:val="67AEE49C"/>
    <w:rsid w:val="6EFDCC05"/>
    <w:rsid w:val="6F9B7E73"/>
    <w:rsid w:val="6F9DB8A6"/>
    <w:rsid w:val="77FACC1F"/>
    <w:rsid w:val="78FBD683"/>
    <w:rsid w:val="79DBFF47"/>
    <w:rsid w:val="7BAF4B40"/>
    <w:rsid w:val="7BF73291"/>
    <w:rsid w:val="7ED62E8A"/>
    <w:rsid w:val="7FCD97F3"/>
    <w:rsid w:val="7FFDADF4"/>
    <w:rsid w:val="9BFD8AC2"/>
    <w:rsid w:val="9EFC11D5"/>
    <w:rsid w:val="AFFEB87C"/>
    <w:rsid w:val="B77D0757"/>
    <w:rsid w:val="BF7F98E5"/>
    <w:rsid w:val="CFEBFE9A"/>
    <w:rsid w:val="DED9A3DC"/>
    <w:rsid w:val="F5F65885"/>
    <w:rsid w:val="FEFDEE3E"/>
    <w:rsid w:val="FFBFB9BF"/>
    <w:rsid w:val="FFFDC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customStyle="1" w:styleId="ab">
    <w:name w:val="表格正文文本"/>
    <w:basedOn w:val="a"/>
    <w:qFormat/>
    <w:pPr>
      <w:widowControl/>
      <w:jc w:val="center"/>
    </w:pPr>
    <w:rPr>
      <w:rFonts w:ascii="Tahoma" w:hAnsi="Tahoma"/>
      <w:kern w:val="0"/>
      <w:sz w:val="18"/>
      <w:szCs w:val="20"/>
    </w:rPr>
  </w:style>
  <w:style w:type="paragraph" w:styleId="ac">
    <w:name w:val="List Paragraph"/>
    <w:basedOn w:val="a"/>
    <w:qFormat/>
    <w:pPr>
      <w:ind w:firstLineChars="200" w:firstLine="200"/>
    </w:pPr>
    <w:rPr>
      <w:rFonts w:ascii="Calibri" w:hAnsi="Calibri"/>
      <w:szCs w:val="22"/>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1">
    <w:name w:val="列出段落1"/>
    <w:basedOn w:val="a"/>
    <w:qFormat/>
    <w:pPr>
      <w:ind w:firstLineChars="200" w:firstLine="200"/>
    </w:pPr>
    <w:rPr>
      <w:rFonts w:ascii="Calibri" w:hAnsi="Calibri"/>
      <w:szCs w:val="22"/>
    </w:rPr>
  </w:style>
  <w:style w:type="paragraph" w:customStyle="1" w:styleId="ae">
    <w:name w:val="列标题"/>
    <w:basedOn w:val="2"/>
    <w:qFormat/>
    <w:pPr>
      <w:keepNext w:val="0"/>
      <w:widowControl/>
      <w:spacing w:line="240" w:lineRule="auto"/>
    </w:pPr>
    <w:rPr>
      <w:rFonts w:ascii="Tahoma" w:hAnsi="Tahoma"/>
      <w:b w:val="0"/>
      <w:color w:val="333399"/>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1211</Words>
  <Characters>6907</Characters>
  <Application>Microsoft Office Word</Application>
  <DocSecurity>0</DocSecurity>
  <Lines>57</Lines>
  <Paragraphs>16</Paragraphs>
  <ScaleCrop>false</ScaleCrop>
  <Company>Xtzj.Com</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2021-09-30T10:38:00Z</cp:lastPrinted>
  <dcterms:created xsi:type="dcterms:W3CDTF">2021-10-03T13:00:00Z</dcterms:created>
  <dcterms:modified xsi:type="dcterms:W3CDTF">2021-10-03T13:00:00Z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